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CellMar>
          <w:left w:w="0" w:type="dxa"/>
          <w:right w:w="0" w:type="dxa"/>
        </w:tblCellMar>
        <w:tblLook w:val="04A0" w:firstRow="1" w:lastRow="0" w:firstColumn="1" w:lastColumn="0" w:noHBand="0" w:noVBand="1"/>
      </w:tblPr>
      <w:tblGrid>
        <w:gridCol w:w="3969"/>
        <w:gridCol w:w="5245"/>
      </w:tblGrid>
      <w:tr w:rsidR="007E6351" w:rsidRPr="007E6351" w:rsidTr="007E6351">
        <w:trPr>
          <w:trHeight w:val="915"/>
        </w:trPr>
        <w:tc>
          <w:tcPr>
            <w:tcW w:w="3969" w:type="dxa"/>
            <w:tcMar>
              <w:top w:w="0" w:type="dxa"/>
              <w:left w:w="108" w:type="dxa"/>
              <w:bottom w:w="0" w:type="dxa"/>
              <w:right w:w="108" w:type="dxa"/>
            </w:tcMar>
            <w:hideMark/>
          </w:tcPr>
          <w:p w:rsidR="007E6351" w:rsidRPr="007E6351" w:rsidRDefault="007E6351" w:rsidP="007E6351">
            <w:pPr>
              <w:spacing w:after="0" w:line="330" w:lineRule="atLeast"/>
              <w:jc w:val="center"/>
              <w:rPr>
                <w:rFonts w:asciiTheme="majorHAnsi" w:eastAsia="Times New Roman" w:hAnsiTheme="majorHAnsi" w:cstheme="majorHAnsi"/>
                <w:color w:val="222222"/>
                <w:sz w:val="24"/>
                <w:szCs w:val="24"/>
                <w:lang w:eastAsia="vi-VN"/>
              </w:rPr>
            </w:pPr>
            <w:r w:rsidRPr="007E6351">
              <w:rPr>
                <w:rFonts w:asciiTheme="majorHAnsi" w:eastAsia="Times New Roman" w:hAnsiTheme="majorHAnsi" w:cstheme="majorHAnsi"/>
                <w:b/>
                <w:bCs/>
                <w:color w:val="222222"/>
                <w:sz w:val="24"/>
                <w:szCs w:val="24"/>
                <w:lang w:eastAsia="vi-VN"/>
              </w:rPr>
              <w:t>CHÍNH PHỦ</w:t>
            </w:r>
            <w:r w:rsidRPr="007E6351">
              <w:rPr>
                <w:rFonts w:asciiTheme="majorHAnsi" w:eastAsia="Times New Roman" w:hAnsiTheme="majorHAnsi" w:cstheme="majorHAnsi"/>
                <w:b/>
                <w:bCs/>
                <w:color w:val="222222"/>
                <w:sz w:val="24"/>
                <w:szCs w:val="24"/>
                <w:lang w:eastAsia="vi-VN"/>
              </w:rPr>
              <w:br/>
              <w:t>-------</w:t>
            </w:r>
          </w:p>
          <w:p w:rsidR="007E6351" w:rsidRPr="007E6351" w:rsidRDefault="007E6351" w:rsidP="007E6351">
            <w:pPr>
              <w:spacing w:after="0" w:line="330" w:lineRule="atLeast"/>
              <w:jc w:val="center"/>
              <w:rPr>
                <w:rFonts w:asciiTheme="majorHAnsi" w:eastAsia="Times New Roman" w:hAnsiTheme="majorHAnsi" w:cstheme="majorHAnsi"/>
                <w:color w:val="222222"/>
                <w:sz w:val="24"/>
                <w:szCs w:val="24"/>
                <w:lang w:eastAsia="vi-VN"/>
              </w:rPr>
            </w:pPr>
            <w:r w:rsidRPr="007E6351">
              <w:rPr>
                <w:rFonts w:asciiTheme="majorHAnsi" w:eastAsia="Times New Roman" w:hAnsiTheme="majorHAnsi" w:cstheme="majorHAnsi"/>
                <w:color w:val="222222"/>
                <w:sz w:val="24"/>
                <w:szCs w:val="24"/>
                <w:lang w:eastAsia="vi-VN"/>
              </w:rPr>
              <w:t>Số: 143/2018/NĐ-CP</w:t>
            </w:r>
          </w:p>
        </w:tc>
        <w:tc>
          <w:tcPr>
            <w:tcW w:w="5245" w:type="dxa"/>
            <w:tcMar>
              <w:top w:w="0" w:type="dxa"/>
              <w:left w:w="108" w:type="dxa"/>
              <w:bottom w:w="0" w:type="dxa"/>
              <w:right w:w="108" w:type="dxa"/>
            </w:tcMar>
            <w:hideMark/>
          </w:tcPr>
          <w:p w:rsidR="007E6351" w:rsidRPr="007E6351" w:rsidRDefault="007E6351" w:rsidP="007E6351">
            <w:pPr>
              <w:spacing w:after="0" w:line="330" w:lineRule="atLeast"/>
              <w:jc w:val="center"/>
              <w:rPr>
                <w:rFonts w:asciiTheme="majorHAnsi" w:eastAsia="Times New Roman" w:hAnsiTheme="majorHAnsi" w:cstheme="majorHAnsi"/>
                <w:color w:val="222222"/>
                <w:sz w:val="24"/>
                <w:szCs w:val="24"/>
                <w:lang w:eastAsia="vi-VN"/>
              </w:rPr>
            </w:pPr>
            <w:r w:rsidRPr="007E6351">
              <w:rPr>
                <w:rFonts w:asciiTheme="majorHAnsi" w:eastAsia="Times New Roman" w:hAnsiTheme="majorHAnsi" w:cstheme="majorHAnsi"/>
                <w:b/>
                <w:bCs/>
                <w:color w:val="222222"/>
                <w:sz w:val="24"/>
                <w:szCs w:val="24"/>
                <w:lang w:eastAsia="vi-VN"/>
              </w:rPr>
              <w:t>CỘNG HÒA XÃ HỘI CHỦ NGHĨA VIỆT NAM</w:t>
            </w:r>
            <w:r w:rsidRPr="007E6351">
              <w:rPr>
                <w:rFonts w:asciiTheme="majorHAnsi" w:eastAsia="Times New Roman" w:hAnsiTheme="majorHAnsi" w:cstheme="majorHAnsi"/>
                <w:b/>
                <w:bCs/>
                <w:color w:val="222222"/>
                <w:sz w:val="24"/>
                <w:szCs w:val="24"/>
                <w:lang w:eastAsia="vi-VN"/>
              </w:rPr>
              <w:br/>
              <w:t>Độc lập - Tự do - Hạnh phúc</w:t>
            </w:r>
            <w:r w:rsidRPr="007E6351">
              <w:rPr>
                <w:rFonts w:asciiTheme="majorHAnsi" w:eastAsia="Times New Roman" w:hAnsiTheme="majorHAnsi" w:cstheme="majorHAnsi"/>
                <w:b/>
                <w:bCs/>
                <w:color w:val="222222"/>
                <w:sz w:val="24"/>
                <w:szCs w:val="24"/>
                <w:lang w:eastAsia="vi-VN"/>
              </w:rPr>
              <w:br/>
              <w:t>---------------</w:t>
            </w:r>
          </w:p>
          <w:p w:rsidR="007E6351" w:rsidRPr="007E6351" w:rsidRDefault="007E6351" w:rsidP="007E6351">
            <w:pPr>
              <w:spacing w:after="0" w:line="330" w:lineRule="atLeast"/>
              <w:jc w:val="right"/>
              <w:rPr>
                <w:rFonts w:asciiTheme="majorHAnsi" w:eastAsia="Times New Roman" w:hAnsiTheme="majorHAnsi" w:cstheme="majorHAnsi"/>
                <w:color w:val="222222"/>
                <w:sz w:val="24"/>
                <w:szCs w:val="24"/>
                <w:lang w:eastAsia="vi-VN"/>
              </w:rPr>
            </w:pPr>
            <w:r w:rsidRPr="007E6351">
              <w:rPr>
                <w:rFonts w:asciiTheme="majorHAnsi" w:eastAsia="Times New Roman" w:hAnsiTheme="majorHAnsi" w:cstheme="majorHAnsi"/>
                <w:i/>
                <w:iCs/>
                <w:color w:val="222222"/>
                <w:sz w:val="24"/>
                <w:szCs w:val="24"/>
                <w:lang w:eastAsia="vi-VN"/>
              </w:rPr>
              <w:t>Hà Nội, ngày 15 tháng 10 năm 2018</w:t>
            </w:r>
          </w:p>
        </w:tc>
      </w:tr>
    </w:tbl>
    <w:p w:rsidR="007E6351" w:rsidRPr="007E6351" w:rsidRDefault="007E6351" w:rsidP="007E6351">
      <w:pPr>
        <w:spacing w:after="100" w:afterAutospacing="1" w:line="240" w:lineRule="auto"/>
        <w:rPr>
          <w:rFonts w:asciiTheme="majorHAnsi" w:eastAsia="Times New Roman" w:hAnsiTheme="majorHAnsi" w:cstheme="majorHAnsi"/>
          <w:sz w:val="24"/>
          <w:szCs w:val="24"/>
          <w:lang w:val="en-US" w:eastAsia="vi-VN"/>
        </w:rPr>
      </w:pPr>
      <w:r w:rsidRPr="007E6351">
        <w:rPr>
          <w:rFonts w:asciiTheme="majorHAnsi" w:eastAsia="Times New Roman" w:hAnsiTheme="majorHAnsi" w:cstheme="majorHAnsi"/>
          <w:sz w:val="24"/>
          <w:szCs w:val="24"/>
          <w:lang w:eastAsia="vi-VN"/>
        </w:rPr>
        <w:t> </w:t>
      </w:r>
    </w:p>
    <w:p w:rsidR="007E6351" w:rsidRPr="007E6351" w:rsidRDefault="007E6351" w:rsidP="007E6351">
      <w:pPr>
        <w:spacing w:after="100" w:afterAutospacing="1" w:line="240" w:lineRule="auto"/>
        <w:jc w:val="center"/>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NGHỊ ĐỊNH</w:t>
      </w:r>
      <w:bookmarkStart w:id="0" w:name="_GoBack"/>
      <w:bookmarkEnd w:id="0"/>
    </w:p>
    <w:p w:rsidR="007E6351" w:rsidRPr="007E6351" w:rsidRDefault="007E6351" w:rsidP="007E6351">
      <w:pPr>
        <w:spacing w:after="100" w:afterAutospacing="1" w:line="240" w:lineRule="auto"/>
        <w:jc w:val="center"/>
        <w:rPr>
          <w:rFonts w:asciiTheme="majorHAnsi" w:eastAsia="Times New Roman" w:hAnsiTheme="majorHAnsi" w:cstheme="majorHAnsi"/>
          <w:sz w:val="28"/>
          <w:szCs w:val="28"/>
          <w:lang w:val="en-US" w:eastAsia="vi-VN"/>
        </w:rPr>
      </w:pPr>
      <w:r w:rsidRPr="007E6351">
        <w:rPr>
          <w:rFonts w:asciiTheme="majorHAnsi" w:eastAsia="Times New Roman" w:hAnsiTheme="majorHAnsi" w:cstheme="majorHAnsi"/>
          <w:b/>
          <w:bCs/>
          <w:sz w:val="28"/>
          <w:szCs w:val="28"/>
          <w:lang w:eastAsia="vi-VN"/>
        </w:rPr>
        <w:t>QUY ĐỊNH CHI TIẾT LUẬT BẢO HIỂM XÃ HỘI VÀ LUẬT AN TOÀN, VỆ SINH LAO ĐỘNG VỀ BẢO HIỂM XÃ HỘI BẮT BUỘC ĐỐI VỚI NGƯỜI LAO ĐỘNG LÀ CÔNG DÂN NƯỚC NGOÀI LÀM VIỆC TẠI VIỆT NAM</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i/>
          <w:iCs/>
          <w:sz w:val="28"/>
          <w:szCs w:val="28"/>
          <w:lang w:eastAsia="vi-VN"/>
        </w:rPr>
        <w:t>Căn cứ </w:t>
      </w:r>
      <w:hyperlink r:id="rId5" w:anchor="noidung" w:tgtFrame="_blank" w:history="1">
        <w:r w:rsidRPr="007E6351">
          <w:rPr>
            <w:rFonts w:asciiTheme="majorHAnsi" w:eastAsia="Times New Roman" w:hAnsiTheme="majorHAnsi" w:cstheme="majorHAnsi"/>
            <w:i/>
            <w:iCs/>
            <w:color w:val="0000FF"/>
            <w:sz w:val="28"/>
            <w:szCs w:val="28"/>
            <w:u w:val="single"/>
            <w:lang w:eastAsia="vi-VN"/>
          </w:rPr>
          <w:t>Luật tổ chức Chính phủ</w:t>
        </w:r>
      </w:hyperlink>
      <w:r w:rsidRPr="007E6351">
        <w:rPr>
          <w:rFonts w:asciiTheme="majorHAnsi" w:eastAsia="Times New Roman" w:hAnsiTheme="majorHAnsi" w:cstheme="majorHAnsi"/>
          <w:i/>
          <w:iCs/>
          <w:sz w:val="28"/>
          <w:szCs w:val="28"/>
          <w:lang w:eastAsia="vi-VN"/>
        </w:rPr>
        <w:t> ngày 19 tháng 6 năm 2015;</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i/>
          <w:iCs/>
          <w:sz w:val="28"/>
          <w:szCs w:val="28"/>
          <w:lang w:eastAsia="vi-VN"/>
        </w:rPr>
        <w:t>Căn cứ </w:t>
      </w:r>
      <w:hyperlink r:id="rId6" w:anchor="noidung" w:tgtFrame="_blank" w:history="1">
        <w:r w:rsidRPr="007E6351">
          <w:rPr>
            <w:rFonts w:asciiTheme="majorHAnsi" w:eastAsia="Times New Roman" w:hAnsiTheme="majorHAnsi" w:cstheme="majorHAnsi"/>
            <w:i/>
            <w:iCs/>
            <w:color w:val="0000FF"/>
            <w:sz w:val="28"/>
            <w:szCs w:val="28"/>
            <w:u w:val="single"/>
            <w:lang w:eastAsia="vi-VN"/>
          </w:rPr>
          <w:t>Luật bảo hiểm xã hội</w:t>
        </w:r>
      </w:hyperlink>
      <w:r w:rsidRPr="007E6351">
        <w:rPr>
          <w:rFonts w:asciiTheme="majorHAnsi" w:eastAsia="Times New Roman" w:hAnsiTheme="majorHAnsi" w:cstheme="majorHAnsi"/>
          <w:i/>
          <w:iCs/>
          <w:sz w:val="28"/>
          <w:szCs w:val="28"/>
          <w:lang w:eastAsia="vi-VN"/>
        </w:rPr>
        <w:t> ngày 20 tháng 11 năm 2014;</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i/>
          <w:iCs/>
          <w:sz w:val="28"/>
          <w:szCs w:val="28"/>
          <w:lang w:eastAsia="vi-VN"/>
        </w:rPr>
        <w:t>Căn cứ </w:t>
      </w:r>
      <w:hyperlink r:id="rId7" w:anchor="noidung" w:tgtFrame="_blank" w:history="1">
        <w:r w:rsidRPr="007E6351">
          <w:rPr>
            <w:rFonts w:asciiTheme="majorHAnsi" w:eastAsia="Times New Roman" w:hAnsiTheme="majorHAnsi" w:cstheme="majorHAnsi"/>
            <w:i/>
            <w:iCs/>
            <w:color w:val="0000FF"/>
            <w:sz w:val="28"/>
            <w:szCs w:val="28"/>
            <w:u w:val="single"/>
            <w:lang w:eastAsia="vi-VN"/>
          </w:rPr>
          <w:t>Luật an toàn, vệ sinh lao động</w:t>
        </w:r>
      </w:hyperlink>
      <w:r w:rsidRPr="007E6351">
        <w:rPr>
          <w:rFonts w:asciiTheme="majorHAnsi" w:eastAsia="Times New Roman" w:hAnsiTheme="majorHAnsi" w:cstheme="majorHAnsi"/>
          <w:i/>
          <w:iCs/>
          <w:sz w:val="28"/>
          <w:szCs w:val="28"/>
          <w:lang w:eastAsia="vi-VN"/>
        </w:rPr>
        <w:t> ngày 25 tháng 6 năm 2015;</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i/>
          <w:iCs/>
          <w:sz w:val="28"/>
          <w:szCs w:val="28"/>
          <w:lang w:eastAsia="vi-VN"/>
        </w:rPr>
        <w:t>Theo đề nghị của Bộ trưởng Bộ Lao động - Thương binh và Xã hội;</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i/>
          <w:iCs/>
          <w:sz w:val="28"/>
          <w:szCs w:val="28"/>
          <w:lang w:eastAsia="vi-VN"/>
        </w:rPr>
        <w:t>Chính phủ ban hành Nghị định quy định chi tiết Luật bảo hiểm xã hội và Luật an toàn, vệ sinh lao động về bảo hiểm xã hội bắt buộc đối với người lao động là công dân nước ngoài làm việc tại Việt Nam.</w:t>
      </w:r>
      <w:r w:rsidRPr="007E6351">
        <w:rPr>
          <w:rFonts w:asciiTheme="majorHAnsi" w:eastAsia="Times New Roman" w:hAnsiTheme="majorHAnsi" w:cstheme="majorHAnsi"/>
          <w:sz w:val="28"/>
          <w:szCs w:val="28"/>
          <w:lang w:eastAsia="vi-VN"/>
        </w:rPr>
        <w:t> </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Chương I. QUY ĐỊNH CHUNG</w:t>
      </w:r>
      <w:r w:rsidRPr="007E6351">
        <w:rPr>
          <w:rFonts w:asciiTheme="majorHAnsi" w:eastAsia="Times New Roman" w:hAnsiTheme="majorHAnsi" w:cstheme="majorHAnsi"/>
          <w:sz w:val="28"/>
          <w:szCs w:val="28"/>
          <w:lang w:eastAsia="vi-VN"/>
        </w:rPr>
        <w:t> </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1. Phạm vi điều chỉnh</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Nghị định này quy định chi tiết Luật bảo hiểm xã hội và Luật an toàn, vệ sinh lao động về bảo hiểm xã hội bắt buộc đối với người lao động là công dân nước ngoài làm việc tại Việt Nam.</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2. Đối tượng áp dụng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Người lao động là công dân nước ngoài làm việc tại Việt Nam thuộc đối tượng tham gia bảo hiểm xã hội bắt buộc khi có giấy phép lao động hoặc chứng chỉ hành nghề hoặc giấy phép hành nghề do cơ quan có thẩm quyền của Việt Nam cấp và có hợp đồng lao động không xác định thời hạn, hợp đồng lao động xác định thời hạn từ đủ 01 năm trở lên với người sử dụng lao động tại Việt Nam.</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Người lao động quy định tại khoản 1 Điều này không thuộc đối tượng tham gia bảo hiểm xã hội bắt buộc theo quy định tại Nghị định này khi thuộc một trong các trường hợp sau:</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Di chuyển trong nội bộ doanh nghiệp theo quy định tại khoản 1 Điều 3 của </w:t>
      </w:r>
      <w:hyperlink r:id="rId8" w:anchor="noidung" w:tgtFrame="_blank" w:history="1">
        <w:r w:rsidRPr="007E6351">
          <w:rPr>
            <w:rFonts w:asciiTheme="majorHAnsi" w:eastAsia="Times New Roman" w:hAnsiTheme="majorHAnsi" w:cstheme="majorHAnsi"/>
            <w:color w:val="0000FF"/>
            <w:sz w:val="28"/>
            <w:szCs w:val="28"/>
            <w:u w:val="single"/>
            <w:lang w:eastAsia="vi-VN"/>
          </w:rPr>
          <w:t>Nghị định số 11/2016/NĐ-CP</w:t>
        </w:r>
      </w:hyperlink>
      <w:r w:rsidRPr="007E6351">
        <w:rPr>
          <w:rFonts w:asciiTheme="majorHAnsi" w:eastAsia="Times New Roman" w:hAnsiTheme="majorHAnsi" w:cstheme="majorHAnsi"/>
          <w:sz w:val="28"/>
          <w:szCs w:val="28"/>
          <w:lang w:eastAsia="vi-VN"/>
        </w:rPr>
        <w:t xml:space="preserve">ngày 03 tháng 02 năm 2016 của Chính phủ </w:t>
      </w:r>
      <w:r w:rsidRPr="007E6351">
        <w:rPr>
          <w:rFonts w:asciiTheme="majorHAnsi" w:eastAsia="Times New Roman" w:hAnsiTheme="majorHAnsi" w:cstheme="majorHAnsi"/>
          <w:sz w:val="28"/>
          <w:szCs w:val="28"/>
          <w:lang w:eastAsia="vi-VN"/>
        </w:rPr>
        <w:lastRenderedPageBreak/>
        <w:t>quy định chi tiết thi hành một số điều của Bộ luật Lao động về lao động nước ngoài làm việc tại Việt Nam;</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Người lao động đã đủ tuổi nghỉ hưu theo quy định tại khoản 1 Điều 187 của </w:t>
      </w:r>
      <w:hyperlink r:id="rId9" w:anchor="noidung" w:tgtFrame="_blank" w:history="1">
        <w:r w:rsidRPr="007E6351">
          <w:rPr>
            <w:rFonts w:asciiTheme="majorHAnsi" w:eastAsia="Times New Roman" w:hAnsiTheme="majorHAnsi" w:cstheme="majorHAnsi"/>
            <w:color w:val="0000FF"/>
            <w:sz w:val="28"/>
            <w:szCs w:val="28"/>
            <w:u w:val="single"/>
            <w:lang w:eastAsia="vi-VN"/>
          </w:rPr>
          <w:t>Bộ luật Lao động.</w:t>
        </w:r>
      </w:hyperlink>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Người sử dụng lao động tham gia bảo hiểm xã hội bắt buộc bao gồm cơ quan nhà nước, đơn vị sự nghiệp,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được phép hoạt động kinh doanh theo quy định của pháp luật có thuê mướn, sử dụng lao động theo hợp đồng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4. Cơ quan, tổ chức và cá nhân có liên quan đến bảo hiểm xã hội bắt buộc đối với người lao động là công dân nước ngoài.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3. Quyền và trách nhiệm của người lao động và người sử dụng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Người lao động và người sử dụng lao động quy định tại Nghị định này có đầy đủ quyền và trách nhiệm theo quy định của Luật bảo hiểm xã hội và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4. Khiếu nại, tố cáo và xử lý vi phạm về bảo hiểm xã hội</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Việc khiếu nại, tố cáo và xử lý vi phạm về bảo hiểm xã hội đối với đối tượng quy định tại Điều 2 của Nghị định này được thực hiện theo quy định tại Chương VIII của Luật bảo hiểm xã hội. </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Chương II. CÁC CHẾ ĐỘ BẢO HIỂM XÃ HỘI BẮT BUỘC</w:t>
      </w:r>
      <w:r w:rsidRPr="007E6351">
        <w:rPr>
          <w:rFonts w:asciiTheme="majorHAnsi" w:eastAsia="Times New Roman" w:hAnsiTheme="majorHAnsi" w:cstheme="majorHAnsi"/>
          <w:sz w:val="28"/>
          <w:szCs w:val="28"/>
          <w:lang w:eastAsia="vi-VN"/>
        </w:rPr>
        <w:t> </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5. Các chế độ bảo hiểm xã hội bắt buộc</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Người lao động quy định tại khoản 1 Điều 2 của Nghị định này thực hiện các chế độ bảo hiểm xã hội bắt buộc sau đây: ốm đau; thai sản; bảo hiểm tai nạn lao động, bệnh nghề nghiệp; hưu trí và tử tuất.</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Chế độ bảo hiểm xã hội bắt buộc đối với người lao động quy định tại khoản 1 Điều 2 của Nghị định này tính trên thời gian người lao động tham gia bảo hiểm xã hội theo quy định tại Nghị định này.</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6. Chế độ ốm đau</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Điều kiện hưởng chế độ ốm đau thực hiện theo quy định tại Điều 25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Thời gian hưởng chế độ ốm đau</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Thời gian hưởng chế độ ốm đau thực hiện theo quy định tại Điều 26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lastRenderedPageBreak/>
        <w:t>b) Thời gian hưởng chế độ khi con ốm đau thực hiện theo quy định tại Điều 27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Mức hưởng chế độ ốm đau thực hiện theo quy định tại Điều 28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4. Dưỡng sức, phục hồi sức khỏe sau khi ốm đau thực hiện theo quy định tại Điều 29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7. Chế độ thai sản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Điều kiện hưởng chế độ thai sản thực hiện theo quy định tại Điều 31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Thời gian hưởng chế độ thai sản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Thời gian hưởng chế độ khi khám thai thực hiện theo quy định tại Điều 32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Thời gian hưởng chế độ khi sẩy thai, nạo, hút thai, thai chết lưu hoặc phá thai bệnh lý thực hiện theo quy định tại Điều 33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c) Thời gian hưởng chế độ khi sinh con thực hiện theo quy định tại Điều 34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d) Thời gian hưởng chế độ khi nhận nuôi con nuôi thực hiện theo quy định tại Điều 36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đ) Thời gian hưởng chế độ khi thực hiện các biện pháp tránh thai thực hiện theo quy định tại Điều 37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Mức hưởng chế độ thai sản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Lao động nữ sinh con, người lao động nhận nuôi con nuôi được trợ cấp một lần theo quy định tại Điều 38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Mức hưởng chế độ thai sản thực hiện theo quy định tại Điều 39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4. Lao động nữ đi làm trước khi hết thời hạn nghỉ sinh con thực hiện theo quy định tại Điều 40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5. Chế độ thai sản của lao động nữ mang thai hộ và người mẹ nhờ mang thai hộ thực hiện theo quy định tại Điều 35 của Luật bảo hiểm xã hội và Điều 3, Điều 4 của Nghị định số 115/2015/NĐ-CP ngày 11 tháng 11 năm 2015 của Chính phủ quy định chi tiết một số điều của Luật bảo hiểm xã hội về bảo hiểm xã hội bắt buộc (sau đây gọi là Nghị định số 115/2015/NĐ-CP).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6. Dưỡng sức, phục hồi sức khỏe sau thai sản thực hiện theo quy định tại Điều 41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8. Chế độ bảo hiểm tai nạn lao động, bệnh nghề nghiệp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Điều kiện hưởng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lastRenderedPageBreak/>
        <w:t>a) Điều kiện hưởng chế độ tai nạn lao động thực hiện theo quy định tại Điều 45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Điều kiện hưởng chế độ bệnh nghề nghiệp thực hiện theo quy định tại khoản 1 Điều 46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Giám định mức suy giảm khả năng lao động thực hiện theo quy định tại Điều 47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Mức hưởng chế độ bảo hiểm tai nạn lao động, bệnh nghề nghiệp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Trợ cấp một lần thực hiện theo quy định tại Điều 48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Trợ cấp hàng tháng thực hiện theo quy định tại các khoản 1, 2, 3, 4 và khoản 6 Điều 49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4. Phương tiện trợ giúp sinh hoạt, dụng cụ chỉnh hình thực hiện theo quy định tại Điều 51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5. Trợ cấp phục vụ thực hiện theo quy định tại Điều 52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6. Thời điểm hưởng trợ cấp thực hiện theo quy định tại Điều 50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7. Trợ cấp khi người lao động chết do tai nạn lao động, bệnh nghề nghiệp thực hiện theo quy định tại Điều 53 của Luật an toàn, vệ sinh lao động và Điều 10 của Nghị định này.</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8. Dưỡng sức, phục hồi sức khỏe sau khi điều trị thương tật, bệnh tật thực hiện theo quy định tại Điều 54 của Luật an toàn, vệ sinh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9. Chế độ bảo hiểm tai nạn lao động, bệnh nghề nghiệp đối với người lao động giao kết hợp đồng lao động với nhiều người sử dụng lao động thực hiện theo quy định tại Điều 5 của </w:t>
      </w:r>
      <w:hyperlink r:id="rId10" w:anchor="noidung" w:tgtFrame="_blank" w:history="1">
        <w:r w:rsidRPr="007E6351">
          <w:rPr>
            <w:rFonts w:asciiTheme="majorHAnsi" w:eastAsia="Times New Roman" w:hAnsiTheme="majorHAnsi" w:cstheme="majorHAnsi"/>
            <w:color w:val="0000FF"/>
            <w:sz w:val="28"/>
            <w:szCs w:val="28"/>
            <w:u w:val="single"/>
            <w:lang w:eastAsia="vi-VN"/>
          </w:rPr>
          <w:t>Nghị định số 37/2016/NĐ-CP</w:t>
        </w:r>
      </w:hyperlink>
      <w:r w:rsidRPr="007E6351">
        <w:rPr>
          <w:rFonts w:asciiTheme="majorHAnsi" w:eastAsia="Times New Roman" w:hAnsiTheme="majorHAnsi" w:cstheme="majorHAnsi"/>
          <w:sz w:val="28"/>
          <w:szCs w:val="28"/>
          <w:lang w:eastAsia="vi-VN"/>
        </w:rPr>
        <w:t>ngày 15 tháng 5 năm 2016 của Chính phủ quy định chi tiết và hướng dẫn thi hành một số điều của Luật an toàn, vệ sinh lao động về bảo hiểm tai nạn lao động, bệnh nghề nghiệp bắt buộc (sau đây gọi là Nghị định số 37/2016/NĐ-CP).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10. Hỗ trợ chuyển đổi nghề nghiệp cho người bị tai nạn lao động, bệnh nghề nghiệp khi trở lại làm việc thực hiện theo quy định tại Điều 55 của Luật an toàn, vệ sinh lao động và Điều 7 và Điều 8 của Nghị định số 37/2016/NĐ-CP.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11. Hỗ trợ các hoạt động phòng ngừa, chia sẻ rủi ro về tai nạn lao động, bệnh nghề nghiệp thực hiện theo quy định tại khoản 1, điểm a, b và điểm d khoản 2, khoản 3 Điều 56 của Luật an toàn, vệ sinh lao động và các Điều 11, 12, 15, 16,19, 20, 23 và Điều 24 của Nghị định số 37/2016/NĐ-CP.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9. Chế độ hưu trí</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lastRenderedPageBreak/>
        <w:t>1. Người lao động quy định tại khoản 1 Điều 2 của Nghị định này được hưởng lương hưu khi đáp ứng điều kiện hưởng lương hưu theo quy định tại khoản 1 Điều 54 của Luật bảo hiểm xã hội và Điều 6 của </w:t>
      </w:r>
      <w:hyperlink r:id="rId11" w:anchor="noidung" w:tgtFrame="_blank" w:history="1">
        <w:r w:rsidRPr="007E6351">
          <w:rPr>
            <w:rFonts w:asciiTheme="majorHAnsi" w:eastAsia="Times New Roman" w:hAnsiTheme="majorHAnsi" w:cstheme="majorHAnsi"/>
            <w:color w:val="0000FF"/>
            <w:sz w:val="28"/>
            <w:szCs w:val="28"/>
            <w:u w:val="single"/>
            <w:lang w:eastAsia="vi-VN"/>
          </w:rPr>
          <w:t>Nghị định số 115/2015/NĐ-CP</w:t>
        </w:r>
      </w:hyperlink>
      <w:r w:rsidRPr="007E6351">
        <w:rPr>
          <w:rFonts w:asciiTheme="majorHAnsi" w:eastAsia="Times New Roman" w:hAnsiTheme="majorHAnsi" w:cstheme="majorHAnsi"/>
          <w:sz w:val="28"/>
          <w:szCs w:val="28"/>
          <w:lang w:eastAsia="vi-VN"/>
        </w:rPr>
        <w:t>.</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Mức hưởng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Mức lương hưu hàng tháng thực hiện theo quy định tại khoản 2 Điều 56 của Luật bảo hiểm xã hội và khoản 1 và khoản 2 Điều 7 của Nghị định số 115/2015/NĐ-CP;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Trợ cấp một lần khi nghỉ hưu thực hiện theo quy định tại Điều 58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c) Mức bình quân tiền lương tháng đóng bảo hiểm xã hội để tính lương hưu, trợ cấp một lần thực hiện theo quy định tại khoản 2 Điều 62 của Luật bảo hiểm xã hộii.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Điều chỉnh tiền lương đã đóng bảo hiểm xã hội thực hiện theo quy định tại khoản 2 Điều 63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4. Điều chỉnh lương hưu thực hiện theo quy định tại Điều 57 của Luật bảo hiểm xã hội và khoản 2 Điều 10 của Nghị định số 115/2015/NĐ-CP.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5. Thời điểm hưởng lương hưu thực hiện theo quy định tại khoản 1 và khoản 3 Điều 59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6. Các trường hợp hưởng bảo hiểm xã hội một lần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Người lao động quy định tại khoản 1 Điều 2 của Nghị định này mà có yêu cầu thì được hưởng bảo hiểm xã hội một lần nếu thuộc một trong các trường hợp sau đây:</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Đủ tuổi hưởng lương hưu theo quy định tại khoản 1 Điều này mà chưa đủ 20 năm đóng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Người đang bị mắc một trong những bệnh nguy hiểm đến tính mạng như ung thư, bại liệt, xơ gan cổ chướng, phong, lao nặng, nhiễm HIV đã chuyển sang giai đoạn AIDS và những bệnh khác theo quy định của Bộ Y tế;</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c) Người lao động đủ điều kiện hưởng lương hưu theo quy định tại khoản 1 Điều này nhưng không tiếp tục cư trú tại Việt Nam;</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d) Người lao động khi chấm dứt hợp đồng lao động hoặc giấy phép lao động, chứng chỉ hành nghề, giấy phép hành nghề hết hiệu lực mà không được gia hạn.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7. Mức hưởng bảo hiểm xã hội một lần thực hiện theo quy định tại điểm b khoản 2 Điều 60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 xml:space="preserve">8. Thời điểm tính hưởng bảo hiểm xã hội một lần là thời điểm ghi trong quyết định của cơ quan bảo hiểm xã hội. Việc điều chỉnh tiền lương đã đóng </w:t>
      </w:r>
      <w:r w:rsidRPr="007E6351">
        <w:rPr>
          <w:rFonts w:asciiTheme="majorHAnsi" w:eastAsia="Times New Roman" w:hAnsiTheme="majorHAnsi" w:cstheme="majorHAnsi"/>
          <w:sz w:val="28"/>
          <w:szCs w:val="28"/>
          <w:lang w:eastAsia="vi-VN"/>
        </w:rPr>
        <w:lastRenderedPageBreak/>
        <w:t>bảo hiểm xã hội để tính hưởng bảo hiểm xã hội một lần căn cứ vào thời điểm ghi trong Quyết định của cơ quan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9. Bảo lưu thời gian đóng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Người lao động khi nghỉ việc mà chưa đủ điều kiện hưởng lương hưu theo quy định tại khoản 1 Điều này hoặc chưa hưởng bảo hiểm xã hội một lần theo quy định tại khoản 6 Điều này thì được bảo lưu thời gian đóng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10. Tạm dừng, hưởng tiếp lương hưu, trợ cấp bảo hiểm xã hội hàng tháng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Các trường hợp tạm dừng, hưởng tiếp lương hưu, trợ cấp bảo hiểm xã hội hàng tháng thực hiện theo quy định tại khoản 1 Điều 64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Lương hưu, trợ cấp bảo hiểm xã hội hằng tháng được tiếp tục thực hiện khi người xuất cảnh trở lại và cư trú tại Việt Nam. Trường hợp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điểm dừng hưởng;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c) Cơ quan bảo hiểm xã hội khi quyết định tạm dừng hưởng theo quy định tại điểm a khoản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10. Chế độ tử tuất</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Trợ cấp mai táng thực hiện theo quy định tại Điều 66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Trợ cấp tuất hằng tháng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Các trường hợp hưởng trợ cấp tuất hằng tháng thực hiện theo quy định tại Điều 67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Mức trợ cấp tuất hằng tháng thực hiện theo quy định tại Điều 68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Trợ cấp tuất một lần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Các trường hợp hưởng trợ cấp tuất một lần thực hiện theo quy định tại Điều 69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Trường hợp người lao động chết mà có thân nhân đủ điều kiện hưởng trợ cấp hàng tháng nhưng không cư trú ở Việt Nam thì được giải quyết trợ cấp tuất một lần;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c) Mức trợ cấp tuất một lần thực hiện theo quy định tại Điều 70 của Luật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lastRenderedPageBreak/>
        <w:t>Điều 11. Thực hiện chuyển đổi chế độ bảo hiểm xã hội đối với người đang hưởng lương hưu, trợ cấp bảo hiểm xã hội hàng tháng không còn cư trú tại Việt Nam</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Người đang hưởng lương hưu, trợ cấp bảo hiểm xã hội hàng tháng khi không tiếp tục cư trú tại Việt Nam có thể ủy quyền cho người khác nhận lương hưu, trợ cấp bảo hiểm xã hội. Trường hợp có nguyện vọng thì được giải quyết hưởng trợ cấp một lần.</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Mức trợ cấp một lần đối với người lao động quy định tại khoản 1 Điều này thực hiện theo quy định tại khoản 2 và khoản 3 Điều 65 của Luật bảo hiểm xã hội. </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Chương III. QUỸ BẢO HIỂM XÃ HỘI</w:t>
      </w:r>
      <w:r w:rsidRPr="007E6351">
        <w:rPr>
          <w:rFonts w:asciiTheme="majorHAnsi" w:eastAsia="Times New Roman" w:hAnsiTheme="majorHAnsi" w:cstheme="majorHAnsi"/>
          <w:sz w:val="28"/>
          <w:szCs w:val="28"/>
          <w:lang w:eastAsia="vi-VN"/>
        </w:rPr>
        <w:t> </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12. Mức đóng và phương thức đóng của người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Từ ngày 01 tháng 01 năm 2022, người lao động quy định tại khoản 1 Điều 2 của Nghị định này, hàng tháng đóng bằng 8% mức tiền lương tháng vào quỹ hưu trí và tử tuất.</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13. Mức đóng và phương thức đóng của người sử dụng lao động</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Người sử dụng lao động quy định tại khoản 3 Điều 2 của Nghị định này, hàng tháng đóng trên quỹ tiền lương tháng đóng bảo hiểm xã hội của người lao động như sau:</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a) 3% vào quỹ ốm đau và thai sản;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b) 0,5% vào quỹ bảo hiểm tai nạn lao động, bệnh nghề nghiệp;</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c) 14% vào quỹ hưu trí và tử tuất từ ngày 01 tháng 01 năm 2022.</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Người sử dụng lao động không phải đóng bảo hiểm xã hội cho người lao động quy định tại khoản 2 Điều 12 của Nghị định này.</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Căn cứ vào khả năng cân đối quỹ bảo hiểm tai nạn lao động, bệnh nghề nghiệp, Chính phủ xem xét điều chỉnh mức đóng tại điểm b khoản 1 Điều này từ ngày 01 tháng 01 năm 2020.</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4. Người lao động mà giao kết hợp đồng lao động với nhiều người sử dụng lao động và thuộc diện áp dụng bảo hiểm xã hội bắt buộc thì người lao động và người sử dụng lao động chỉ đóng bảo hiểm xã hội đối với hợp đồng lao động giao kết đầu tiên. Riêng tham gia vào quỹ bảo hiểm tai nạn lao động, bệnh nghề nghiệp thì người sử dụng lao động phải đóng theo từng hợp đồng lao động đã giao kết.</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lastRenderedPageBreak/>
        <w:t>Điều 14. Tiền lương tháng đóng bảo hiểm xã hội</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Tiền lương tháng đóng bảo hiểm xã hội quy định tại khoản 1 Điều 12 và khoản 1 Điều 13 của Nghị định này thực hiện theo quy định tại khoản 2 và khoản 3 Điều 89 của Luật bảo hiểm xã hội và khoản 2 và khoản 3 Điều 17 của Nghị định số 115/2015/NĐ-CP. </w:t>
      </w:r>
    </w:p>
    <w:p w:rsidR="007E6351" w:rsidRPr="007E6351" w:rsidRDefault="007E6351" w:rsidP="007E6351">
      <w:pPr>
        <w:spacing w:after="100" w:afterAutospacing="1" w:line="240" w:lineRule="auto"/>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Chương IV. TRÌNH TỰ, THỦ TỤC THỰC HIỆN BẢO HIỂM XÃ HỘI</w:t>
      </w:r>
      <w:r w:rsidRPr="007E6351">
        <w:rPr>
          <w:rFonts w:asciiTheme="majorHAnsi" w:eastAsia="Times New Roman" w:hAnsiTheme="majorHAnsi" w:cstheme="majorHAnsi"/>
          <w:sz w:val="28"/>
          <w:szCs w:val="28"/>
          <w:lang w:eastAsia="vi-VN"/>
        </w:rPr>
        <w:t> </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15. Trình tự, thủ tục tham gia, giải quyết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Trình tự, thủ tục tham gia bảo hiểm xã hội và trình tự, thủ tục giải quyết chế độ bảo hiểm xã hội của người lao động quy định tại khoản 1 Điều 2 của Nghị định này thực hiện theo trình tự, thủ tục đối với lao động Việt Nam và thực hiện theo quy định tại Chương VII của Luật bảo hiểm xã hội; Điều 57, 58, 59, 60, 61 và 62 của Luật an toàn, vệ sinh lao động; Điều 5 của Nghị định số 115/2015/NĐ-CP; Điều 9, 10, 13, 14, 17, 18, 21, 22, 25 và Điều 26 Nghị định số 37/2016/NĐ-CP trừ quy định tại khoản 3 Điều này và Điều 16 của Nghị định này.</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Hồ sơ tham gia, giải quyết chế độ bảo hiểm xã hội của người lao động tại khoản 1 Điều này do cơ quan nước ngoài cấp thì phải được dịch ra tiếng Việt và chứng thực theo quy định của pháp luật Việt Nam.</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Giải quyết hưởng bảo hiểm xã hội một lần</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Trong thời hạn 10 ngày tính đến thời điểm chấm dứt hợp đồng lao động hoặc thời điểm giấy phép lao động, chứng chỉ hành nghề, giấy phép hành nghề hết hiệu lực (tùy thuộc điều kiện nào đến trước) mà người lao động không tiếp tục làm việc theo hợp đồng lao động hoặc không được gia hạn giấy phép, người lao động có yêu cầu hưởng bảo hiểm xã hội một lần nộp hồ sơ theo quy định cho cơ quan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Trong thời hạn 05 ngày làm việc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16. Trình tự, giải quyết chuyển đổi hưởng chế độ bảo hiểm xã hội đối với người đang hưởng lương hưu, trợ cấp bảo hiểm xã hội hàng tháng không còn cư trú tại Việt Nam</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Người đang hưởng lương hưu, trợ cấp bảo hiểm xã hội hàng tháng không còn cư trú tại Việt Nam có nguyện vọng nhận trợ cấp một lần nộp đơn đề nghị cho cơ quan bảo hiểm xã hội.</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Trong thời hạn 05 ngày làm việc kể từ ngày nhận được đơn đề nghị, cơ quan bảo hiểm xã hội có trách nhiệm giải quyết cho người lao động, trường hợp không giải quyết thì phải trả lời bằng văn bản và nêu rõ lý do. </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lastRenderedPageBreak/>
        <w:t>Chương V. ĐIỀU KHOẢN THI HÀNH</w:t>
      </w:r>
      <w:r w:rsidRPr="007E6351">
        <w:rPr>
          <w:rFonts w:asciiTheme="majorHAnsi" w:eastAsia="Times New Roman" w:hAnsiTheme="majorHAnsi" w:cstheme="majorHAnsi"/>
          <w:sz w:val="28"/>
          <w:szCs w:val="28"/>
          <w:lang w:eastAsia="vi-VN"/>
        </w:rPr>
        <w:t> </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17. Hiệu lực thi hành</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Nghị định này có hiệu lực thi hành từ ngày 01 tháng 12 năm 2018.</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Các chế độ quy định tại Điều 9 và Điều 10 của Nghị định này có hiệu lực thi hành từ ngày 01 tháng 01 năm 2022.</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Trường hợp có sự khác nhau giữa quy định của Nghị định này và điều ước quốc tế mà Cộng hòa xã hội chủ nghĩa Việt Nam là thành viên về cùng một vấn đề thì áp dụng quy định của điều ước quốc tế.</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b/>
          <w:bCs/>
          <w:sz w:val="28"/>
          <w:szCs w:val="28"/>
          <w:lang w:eastAsia="vi-VN"/>
        </w:rPr>
        <w:t>Điều 18. Trách nhiệm tổ chức thi hành</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1. Bộ trưởng Bộ Lao động - Thương binh và Xã hội có trách nhiệm tổ chức triển khai, giám sát thi hành Nghị định này và chủ trì phối hợp với các bộ, ngành tiến hành đề xuất đàm phán, ký kết các Hiệp định song phương, đa phương về bảo hiểm xã hội.</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2. Tổng Giám đốc Bảo hiểm xã hội Việt Nam có trách nhiệm rà soát, ban hành mẫu, biểu tham gia, giải quyết chế độ bảo hiểm xã hội đối với người lao động nước ngoài bằng tiếng Việt và tiếng Anh.</w:t>
      </w:r>
    </w:p>
    <w:p w:rsidR="007E6351" w:rsidRPr="007E6351" w:rsidRDefault="007E6351" w:rsidP="007E6351">
      <w:pPr>
        <w:spacing w:after="120" w:line="240" w:lineRule="auto"/>
        <w:ind w:firstLine="720"/>
        <w:jc w:val="both"/>
        <w:rPr>
          <w:rFonts w:asciiTheme="majorHAnsi" w:eastAsia="Times New Roman" w:hAnsiTheme="majorHAnsi" w:cstheme="majorHAnsi"/>
          <w:sz w:val="28"/>
          <w:szCs w:val="28"/>
          <w:lang w:eastAsia="vi-VN"/>
        </w:rPr>
      </w:pPr>
      <w:r w:rsidRPr="007E6351">
        <w:rPr>
          <w:rFonts w:asciiTheme="majorHAnsi" w:eastAsia="Times New Roman" w:hAnsiTheme="majorHAnsi" w:cstheme="majorHAnsi"/>
          <w:sz w:val="28"/>
          <w:szCs w:val="28"/>
          <w:lang w:eastAsia="vi-VN"/>
        </w:rPr>
        <w:t>3. Bộ trưởng Bộ Y tế có trách nhiệm rà soát, ban hành mẫu cấp giấy ra viện, trích sao hồ sơ bệnh án, giấy chứng nhận nghỉ việc, giấy chứng nhận nghỉ dưỡng thai, giấy chứng nhận không đủ sức khỏe chăm sóc con sau sinh, khám giám định mức suy giảm khả năng lao động để giải quyết chế độ bảo hiểm xã hội đối với người lao động tại khoản 1 Điều 2 của Nghị định này.</w:t>
      </w:r>
    </w:p>
    <w:p w:rsidR="007E6351" w:rsidRPr="007E6351" w:rsidRDefault="007E6351" w:rsidP="007E6351">
      <w:pPr>
        <w:spacing w:after="100" w:afterAutospacing="1" w:line="240" w:lineRule="auto"/>
        <w:ind w:firstLine="720"/>
        <w:jc w:val="both"/>
        <w:rPr>
          <w:rFonts w:asciiTheme="majorHAnsi" w:eastAsia="Times New Roman" w:hAnsiTheme="majorHAnsi" w:cstheme="majorHAnsi"/>
          <w:sz w:val="28"/>
          <w:szCs w:val="28"/>
          <w:lang w:val="en-US" w:eastAsia="vi-VN"/>
        </w:rPr>
      </w:pPr>
      <w:r w:rsidRPr="007E6351">
        <w:rPr>
          <w:rFonts w:asciiTheme="majorHAnsi" w:eastAsia="Times New Roman" w:hAnsiTheme="majorHAnsi" w:cstheme="majorHAnsi"/>
          <w:sz w:val="28"/>
          <w:szCs w:val="28"/>
          <w:lang w:eastAsia="vi-VN"/>
        </w:rPr>
        <w:t>4. Các Bộ trưởng, Thủ trưởng cơ quan ngang bộ, Thủ trưởng cơ quan thuộc Chính phủ, Chủ tịch Ủy ban nhân dân tỉnh, thành phố trực thuộc trung ương chịu trách nhiệm thi hành Nghị định này./.</w:t>
      </w:r>
    </w:p>
    <w:tbl>
      <w:tblPr>
        <w:tblW w:w="9639" w:type="dxa"/>
        <w:tblInd w:w="108" w:type="dxa"/>
        <w:tblCellMar>
          <w:left w:w="0" w:type="dxa"/>
          <w:right w:w="0" w:type="dxa"/>
        </w:tblCellMar>
        <w:tblLook w:val="04A0" w:firstRow="1" w:lastRow="0" w:firstColumn="1" w:lastColumn="0" w:noHBand="0" w:noVBand="1"/>
      </w:tblPr>
      <w:tblGrid>
        <w:gridCol w:w="6212"/>
        <w:gridCol w:w="3427"/>
      </w:tblGrid>
      <w:tr w:rsidR="007E6351" w:rsidRPr="007E6351" w:rsidTr="007E6351">
        <w:tc>
          <w:tcPr>
            <w:tcW w:w="6212" w:type="dxa"/>
            <w:tcBorders>
              <w:top w:val="nil"/>
              <w:left w:val="nil"/>
              <w:bottom w:val="nil"/>
              <w:right w:val="nil"/>
            </w:tcBorders>
            <w:tcMar>
              <w:top w:w="0" w:type="dxa"/>
              <w:left w:w="108" w:type="dxa"/>
              <w:bottom w:w="0" w:type="dxa"/>
              <w:right w:w="108" w:type="dxa"/>
            </w:tcMar>
            <w:hideMark/>
          </w:tcPr>
          <w:p w:rsidR="007E6351" w:rsidRPr="007E6351" w:rsidRDefault="007E6351" w:rsidP="007E6351">
            <w:pPr>
              <w:spacing w:after="0" w:line="330" w:lineRule="atLeast"/>
              <w:rPr>
                <w:rFonts w:asciiTheme="majorHAnsi" w:eastAsia="Times New Roman" w:hAnsiTheme="majorHAnsi" w:cstheme="majorHAnsi"/>
                <w:color w:val="222222"/>
                <w:lang w:eastAsia="vi-VN"/>
              </w:rPr>
            </w:pPr>
            <w:r w:rsidRPr="007E6351">
              <w:rPr>
                <w:rFonts w:asciiTheme="majorHAnsi" w:eastAsia="Times New Roman" w:hAnsiTheme="majorHAnsi" w:cstheme="majorHAnsi"/>
                <w:b/>
                <w:bCs/>
                <w:i/>
                <w:iCs/>
                <w:color w:val="222222"/>
                <w:lang w:eastAsia="vi-VN"/>
              </w:rPr>
              <w:t>Nơi nhận:</w:t>
            </w:r>
            <w:r w:rsidRPr="007E6351">
              <w:rPr>
                <w:rFonts w:asciiTheme="majorHAnsi" w:eastAsia="Times New Roman" w:hAnsiTheme="majorHAnsi" w:cstheme="majorHAnsi"/>
                <w:color w:val="222222"/>
                <w:lang w:eastAsia="vi-VN"/>
              </w:rPr>
              <w:br/>
              <w:t>- Ban Bí thư Trung ương Đảng;</w:t>
            </w:r>
            <w:r w:rsidRPr="007E6351">
              <w:rPr>
                <w:rFonts w:asciiTheme="majorHAnsi" w:eastAsia="Times New Roman" w:hAnsiTheme="majorHAnsi" w:cstheme="majorHAnsi"/>
                <w:color w:val="222222"/>
                <w:lang w:eastAsia="vi-VN"/>
              </w:rPr>
              <w:br/>
              <w:t>- Thủ tướng, các Phó Thủ tướng Chính phủ;</w:t>
            </w:r>
            <w:r w:rsidRPr="007E6351">
              <w:rPr>
                <w:rFonts w:asciiTheme="majorHAnsi" w:eastAsia="Times New Roman" w:hAnsiTheme="majorHAnsi" w:cstheme="majorHAnsi"/>
                <w:color w:val="222222"/>
                <w:lang w:eastAsia="vi-VN"/>
              </w:rPr>
              <w:br/>
              <w:t>- Các bộ, cơ quan ngang bộ, cơ quan thuộc Chính phủ;</w:t>
            </w:r>
            <w:r w:rsidRPr="007E6351">
              <w:rPr>
                <w:rFonts w:asciiTheme="majorHAnsi" w:eastAsia="Times New Roman" w:hAnsiTheme="majorHAnsi" w:cstheme="majorHAnsi"/>
                <w:color w:val="222222"/>
                <w:lang w:eastAsia="vi-VN"/>
              </w:rPr>
              <w:br/>
              <w:t>- HĐND, UBND các tỉnh, thành phố trực thuộc trung ương;</w:t>
            </w:r>
            <w:r w:rsidRPr="007E6351">
              <w:rPr>
                <w:rFonts w:asciiTheme="majorHAnsi" w:eastAsia="Times New Roman" w:hAnsiTheme="majorHAnsi" w:cstheme="majorHAnsi"/>
                <w:color w:val="222222"/>
                <w:lang w:eastAsia="vi-VN"/>
              </w:rPr>
              <w:br/>
              <w:t>- Văn phòng Trung ương và các Ban của Đảng;</w:t>
            </w:r>
            <w:r w:rsidRPr="007E6351">
              <w:rPr>
                <w:rFonts w:asciiTheme="majorHAnsi" w:eastAsia="Times New Roman" w:hAnsiTheme="majorHAnsi" w:cstheme="majorHAnsi"/>
                <w:color w:val="222222"/>
                <w:lang w:eastAsia="vi-VN"/>
              </w:rPr>
              <w:br/>
              <w:t>- Văn phòng Tổng Bí thư;</w:t>
            </w:r>
            <w:r w:rsidRPr="007E6351">
              <w:rPr>
                <w:rFonts w:asciiTheme="majorHAnsi" w:eastAsia="Times New Roman" w:hAnsiTheme="majorHAnsi" w:cstheme="majorHAnsi"/>
                <w:color w:val="222222"/>
                <w:lang w:eastAsia="vi-VN"/>
              </w:rPr>
              <w:br/>
              <w:t>- Văn phòng Chủ tịch nước;</w:t>
            </w:r>
            <w:r w:rsidRPr="007E6351">
              <w:rPr>
                <w:rFonts w:asciiTheme="majorHAnsi" w:eastAsia="Times New Roman" w:hAnsiTheme="majorHAnsi" w:cstheme="majorHAnsi"/>
                <w:color w:val="222222"/>
                <w:lang w:eastAsia="vi-VN"/>
              </w:rPr>
              <w:br/>
              <w:t>- Hội đồng dân tộc và các Ủy ban của Quốc hội;</w:t>
            </w:r>
            <w:r w:rsidRPr="007E6351">
              <w:rPr>
                <w:rFonts w:asciiTheme="majorHAnsi" w:eastAsia="Times New Roman" w:hAnsiTheme="majorHAnsi" w:cstheme="majorHAnsi"/>
                <w:color w:val="222222"/>
                <w:lang w:eastAsia="vi-VN"/>
              </w:rPr>
              <w:br/>
              <w:t>- Văn phòng Quốc hội;</w:t>
            </w:r>
            <w:r w:rsidRPr="007E6351">
              <w:rPr>
                <w:rFonts w:asciiTheme="majorHAnsi" w:eastAsia="Times New Roman" w:hAnsiTheme="majorHAnsi" w:cstheme="majorHAnsi"/>
                <w:color w:val="222222"/>
                <w:lang w:eastAsia="vi-VN"/>
              </w:rPr>
              <w:br/>
              <w:t>- Tòa án nhân dân tối cao;</w:t>
            </w:r>
            <w:r w:rsidRPr="007E6351">
              <w:rPr>
                <w:rFonts w:asciiTheme="majorHAnsi" w:eastAsia="Times New Roman" w:hAnsiTheme="majorHAnsi" w:cstheme="majorHAnsi"/>
                <w:color w:val="222222"/>
                <w:lang w:eastAsia="vi-VN"/>
              </w:rPr>
              <w:br/>
              <w:t>- Viện kiểm sát nhân dân tối cao;</w:t>
            </w:r>
            <w:r w:rsidRPr="007E6351">
              <w:rPr>
                <w:rFonts w:asciiTheme="majorHAnsi" w:eastAsia="Times New Roman" w:hAnsiTheme="majorHAnsi" w:cstheme="majorHAnsi"/>
                <w:color w:val="222222"/>
                <w:lang w:eastAsia="vi-VN"/>
              </w:rPr>
              <w:br/>
              <w:t>- Kiểm toán nhà nước;</w:t>
            </w:r>
            <w:r w:rsidRPr="007E6351">
              <w:rPr>
                <w:rFonts w:asciiTheme="majorHAnsi" w:eastAsia="Times New Roman" w:hAnsiTheme="majorHAnsi" w:cstheme="majorHAnsi"/>
                <w:color w:val="222222"/>
                <w:lang w:eastAsia="vi-VN"/>
              </w:rPr>
              <w:br/>
              <w:t>- Ủy ban Giám sát tài chính Quốc gia;</w:t>
            </w:r>
            <w:r w:rsidRPr="007E6351">
              <w:rPr>
                <w:rFonts w:asciiTheme="majorHAnsi" w:eastAsia="Times New Roman" w:hAnsiTheme="majorHAnsi" w:cstheme="majorHAnsi"/>
                <w:color w:val="222222"/>
                <w:lang w:eastAsia="vi-VN"/>
              </w:rPr>
              <w:br/>
            </w:r>
            <w:r w:rsidRPr="007E6351">
              <w:rPr>
                <w:rFonts w:asciiTheme="majorHAnsi" w:eastAsia="Times New Roman" w:hAnsiTheme="majorHAnsi" w:cstheme="majorHAnsi"/>
                <w:color w:val="222222"/>
                <w:lang w:eastAsia="vi-VN"/>
              </w:rPr>
              <w:lastRenderedPageBreak/>
              <w:t>- Ngân hàng Chính sách xã hội;</w:t>
            </w:r>
            <w:r w:rsidRPr="007E6351">
              <w:rPr>
                <w:rFonts w:asciiTheme="majorHAnsi" w:eastAsia="Times New Roman" w:hAnsiTheme="majorHAnsi" w:cstheme="majorHAnsi"/>
                <w:color w:val="222222"/>
                <w:lang w:eastAsia="vi-VN"/>
              </w:rPr>
              <w:br/>
              <w:t>- Ngân hàng Phát triển Việt Nam;</w:t>
            </w:r>
            <w:r w:rsidRPr="007E6351">
              <w:rPr>
                <w:rFonts w:asciiTheme="majorHAnsi" w:eastAsia="Times New Roman" w:hAnsiTheme="majorHAnsi" w:cstheme="majorHAnsi"/>
                <w:color w:val="222222"/>
                <w:lang w:eastAsia="vi-VN"/>
              </w:rPr>
              <w:br/>
              <w:t>- Ủy ban trung ương Mặt trận Tổ quốc Việt Nam;</w:t>
            </w:r>
            <w:r w:rsidRPr="007E6351">
              <w:rPr>
                <w:rFonts w:asciiTheme="majorHAnsi" w:eastAsia="Times New Roman" w:hAnsiTheme="majorHAnsi" w:cstheme="majorHAnsi"/>
                <w:color w:val="222222"/>
                <w:lang w:eastAsia="vi-VN"/>
              </w:rPr>
              <w:br/>
              <w:t>- Cơ quan trung ương của các đoàn thể;</w:t>
            </w:r>
            <w:r w:rsidRPr="007E6351">
              <w:rPr>
                <w:rFonts w:asciiTheme="majorHAnsi" w:eastAsia="Times New Roman" w:hAnsiTheme="majorHAnsi" w:cstheme="majorHAnsi"/>
                <w:color w:val="222222"/>
                <w:lang w:eastAsia="vi-VN"/>
              </w:rPr>
              <w:br/>
              <w:t>- VPCP: BTCN, các PCN, Trợ lý TTg, TGĐ Cổng TTĐT,</w:t>
            </w:r>
            <w:r w:rsidRPr="007E6351">
              <w:rPr>
                <w:rFonts w:asciiTheme="majorHAnsi" w:eastAsia="Times New Roman" w:hAnsiTheme="majorHAnsi" w:cstheme="majorHAnsi"/>
                <w:color w:val="222222"/>
                <w:lang w:eastAsia="vi-VN"/>
              </w:rPr>
              <w:br/>
              <w:t>các Vụ, Cục, đơn vị trực thuộc, Công báo;</w:t>
            </w:r>
            <w:r w:rsidRPr="007E6351">
              <w:rPr>
                <w:rFonts w:asciiTheme="majorHAnsi" w:eastAsia="Times New Roman" w:hAnsiTheme="majorHAnsi" w:cstheme="majorHAnsi"/>
                <w:color w:val="222222"/>
                <w:lang w:eastAsia="vi-VN"/>
              </w:rPr>
              <w:br/>
              <w:t>- Lưu: VT, KTTH (2b). </w:t>
            </w:r>
            <w:r w:rsidRPr="007E6351">
              <w:rPr>
                <w:rFonts w:asciiTheme="majorHAnsi" w:eastAsia="Times New Roman" w:hAnsiTheme="majorHAnsi" w:cstheme="majorHAnsi"/>
                <w:color w:val="222222"/>
                <w:vertAlign w:val="subscript"/>
                <w:lang w:eastAsia="vi-VN"/>
              </w:rPr>
              <w:t>PC</w:t>
            </w:r>
          </w:p>
        </w:tc>
        <w:tc>
          <w:tcPr>
            <w:tcW w:w="3427" w:type="dxa"/>
            <w:tcBorders>
              <w:top w:val="nil"/>
              <w:left w:val="nil"/>
              <w:bottom w:val="nil"/>
              <w:right w:val="nil"/>
            </w:tcBorders>
            <w:tcMar>
              <w:top w:w="0" w:type="dxa"/>
              <w:left w:w="108" w:type="dxa"/>
              <w:bottom w:w="0" w:type="dxa"/>
              <w:right w:w="108" w:type="dxa"/>
            </w:tcMar>
            <w:hideMark/>
          </w:tcPr>
          <w:p w:rsidR="007E6351" w:rsidRPr="007E6351" w:rsidRDefault="007E6351" w:rsidP="007E6351">
            <w:pPr>
              <w:spacing w:after="0" w:line="330" w:lineRule="atLeast"/>
              <w:jc w:val="center"/>
              <w:rPr>
                <w:rFonts w:asciiTheme="majorHAnsi" w:eastAsia="Times New Roman" w:hAnsiTheme="majorHAnsi" w:cstheme="majorHAnsi"/>
                <w:color w:val="222222"/>
                <w:sz w:val="28"/>
                <w:szCs w:val="28"/>
                <w:lang w:eastAsia="vi-VN"/>
              </w:rPr>
            </w:pPr>
            <w:r w:rsidRPr="007E6351">
              <w:rPr>
                <w:rFonts w:asciiTheme="majorHAnsi" w:eastAsia="Times New Roman" w:hAnsiTheme="majorHAnsi" w:cstheme="majorHAnsi"/>
                <w:b/>
                <w:bCs/>
                <w:color w:val="222222"/>
                <w:sz w:val="28"/>
                <w:szCs w:val="28"/>
                <w:lang w:eastAsia="vi-VN"/>
              </w:rPr>
              <w:lastRenderedPageBreak/>
              <w:t>TM. CHÍNH PHỦ</w:t>
            </w:r>
            <w:r w:rsidRPr="007E6351">
              <w:rPr>
                <w:rFonts w:asciiTheme="majorHAnsi" w:eastAsia="Times New Roman" w:hAnsiTheme="majorHAnsi" w:cstheme="majorHAnsi"/>
                <w:b/>
                <w:bCs/>
                <w:color w:val="222222"/>
                <w:sz w:val="28"/>
                <w:szCs w:val="28"/>
                <w:lang w:eastAsia="vi-VN"/>
              </w:rPr>
              <w:br/>
              <w:t>THỦ TƯỚNG</w:t>
            </w:r>
            <w:r w:rsidRPr="007E6351">
              <w:rPr>
                <w:rFonts w:asciiTheme="majorHAnsi" w:eastAsia="Times New Roman" w:hAnsiTheme="majorHAnsi" w:cstheme="majorHAnsi"/>
                <w:b/>
                <w:bCs/>
                <w:color w:val="222222"/>
                <w:sz w:val="28"/>
                <w:szCs w:val="28"/>
                <w:lang w:eastAsia="vi-VN"/>
              </w:rPr>
              <w:br/>
            </w:r>
            <w:r w:rsidRPr="007E6351">
              <w:rPr>
                <w:rFonts w:asciiTheme="majorHAnsi" w:eastAsia="Times New Roman" w:hAnsiTheme="majorHAnsi" w:cstheme="majorHAnsi"/>
                <w:b/>
                <w:bCs/>
                <w:color w:val="222222"/>
                <w:sz w:val="28"/>
                <w:szCs w:val="28"/>
                <w:lang w:eastAsia="vi-VN"/>
              </w:rPr>
              <w:br/>
            </w:r>
            <w:r w:rsidRPr="007E6351">
              <w:rPr>
                <w:rFonts w:asciiTheme="majorHAnsi" w:eastAsia="Times New Roman" w:hAnsiTheme="majorHAnsi" w:cstheme="majorHAnsi"/>
                <w:b/>
                <w:bCs/>
                <w:color w:val="222222"/>
                <w:sz w:val="28"/>
                <w:szCs w:val="28"/>
                <w:lang w:eastAsia="vi-VN"/>
              </w:rPr>
              <w:br/>
            </w:r>
            <w:r w:rsidRPr="007E6351">
              <w:rPr>
                <w:rFonts w:asciiTheme="majorHAnsi" w:eastAsia="Times New Roman" w:hAnsiTheme="majorHAnsi" w:cstheme="majorHAnsi"/>
                <w:b/>
                <w:bCs/>
                <w:color w:val="222222"/>
                <w:sz w:val="28"/>
                <w:szCs w:val="28"/>
                <w:lang w:eastAsia="vi-VN"/>
              </w:rPr>
              <w:br/>
            </w:r>
            <w:r w:rsidRPr="007E6351">
              <w:rPr>
                <w:rFonts w:asciiTheme="majorHAnsi" w:eastAsia="Times New Roman" w:hAnsiTheme="majorHAnsi" w:cstheme="majorHAnsi"/>
                <w:b/>
                <w:bCs/>
                <w:color w:val="222222"/>
                <w:sz w:val="28"/>
                <w:szCs w:val="28"/>
                <w:lang w:eastAsia="vi-VN"/>
              </w:rPr>
              <w:br/>
              <w:t>Nguyễn Xuân Phúc</w:t>
            </w:r>
          </w:p>
        </w:tc>
      </w:tr>
    </w:tbl>
    <w:p w:rsidR="0034700A" w:rsidRDefault="0034700A"/>
    <w:sectPr w:rsidR="00347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51"/>
    <w:rsid w:val="0034700A"/>
    <w:rsid w:val="007E63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35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E6351"/>
    <w:rPr>
      <w:b/>
      <w:bCs/>
    </w:rPr>
  </w:style>
  <w:style w:type="character" w:styleId="Emphasis">
    <w:name w:val="Emphasis"/>
    <w:basedOn w:val="DefaultParagraphFont"/>
    <w:uiPriority w:val="20"/>
    <w:qFormat/>
    <w:rsid w:val="007E6351"/>
    <w:rPr>
      <w:i/>
      <w:iCs/>
    </w:rPr>
  </w:style>
  <w:style w:type="character" w:styleId="Hyperlink">
    <w:name w:val="Hyperlink"/>
    <w:basedOn w:val="DefaultParagraphFont"/>
    <w:uiPriority w:val="99"/>
    <w:semiHidden/>
    <w:unhideWhenUsed/>
    <w:rsid w:val="007E6351"/>
    <w:rPr>
      <w:color w:val="0000FF"/>
      <w:u w:val="single"/>
    </w:rPr>
  </w:style>
  <w:style w:type="character" w:customStyle="1" w:styleId="demuc4">
    <w:name w:val="demuc4"/>
    <w:basedOn w:val="DefaultParagraphFont"/>
    <w:rsid w:val="007E6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35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E6351"/>
    <w:rPr>
      <w:b/>
      <w:bCs/>
    </w:rPr>
  </w:style>
  <w:style w:type="character" w:styleId="Emphasis">
    <w:name w:val="Emphasis"/>
    <w:basedOn w:val="DefaultParagraphFont"/>
    <w:uiPriority w:val="20"/>
    <w:qFormat/>
    <w:rsid w:val="007E6351"/>
    <w:rPr>
      <w:i/>
      <w:iCs/>
    </w:rPr>
  </w:style>
  <w:style w:type="character" w:styleId="Hyperlink">
    <w:name w:val="Hyperlink"/>
    <w:basedOn w:val="DefaultParagraphFont"/>
    <w:uiPriority w:val="99"/>
    <w:semiHidden/>
    <w:unhideWhenUsed/>
    <w:rsid w:val="007E6351"/>
    <w:rPr>
      <w:color w:val="0000FF"/>
      <w:u w:val="single"/>
    </w:rPr>
  </w:style>
  <w:style w:type="character" w:customStyle="1" w:styleId="demuc4">
    <w:name w:val="demuc4"/>
    <w:basedOn w:val="DefaultParagraphFont"/>
    <w:rsid w:val="007E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nghi-dinh-11-2016-nd-cp-chinh-phu-102805-d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vietnam.vn/lao-dong/luat-84-2015-qh13-quoc-hoi-96265-d1.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bao-hiem/luat-58-2014-qh13-quoc-hoi-91349-d1.html" TargetMode="External"/><Relationship Id="rId11" Type="http://schemas.openxmlformats.org/officeDocument/2006/relationships/hyperlink" Target="https://luatvietnam.vn/bao-hiem/nghi-dinh-115-2015-nd-cp-chinh-phu-100289-d1.html" TargetMode="External"/><Relationship Id="rId5" Type="http://schemas.openxmlformats.org/officeDocument/2006/relationships/hyperlink" Target="https://luatvietnam.vn/co-cau-to-chuc/luat-76-2015-qh13-quoc-hoi-96361-d1.html" TargetMode="External"/><Relationship Id="rId10" Type="http://schemas.openxmlformats.org/officeDocument/2006/relationships/hyperlink" Target="https://luatvietnam.vn/lao-dong/nghi-dinh-37-2016-nd-cp-chinh-phu-105705-d1.html" TargetMode="External"/><Relationship Id="rId4" Type="http://schemas.openxmlformats.org/officeDocument/2006/relationships/webSettings" Target="webSettings.xml"/><Relationship Id="rId9" Type="http://schemas.openxmlformats.org/officeDocument/2006/relationships/hyperlink" Target="https://luatvietnam.vn/lao-dong/luat-10-2012-qh13-quoc-hoi-71731-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2944</Words>
  <Characters>16784</Characters>
  <Application>Microsoft Office Word</Application>
  <DocSecurity>0</DocSecurity>
  <Lines>139</Lines>
  <Paragraphs>39</Paragraphs>
  <ScaleCrop>false</ScaleCrop>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2019-01-04T00:47:00Z</dcterms:created>
  <dcterms:modified xsi:type="dcterms:W3CDTF">2019-01-04T00:53:00Z</dcterms:modified>
</cp:coreProperties>
</file>