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43EBA" w:rsidRPr="00643EBA" w:rsidTr="00643EBA">
        <w:trPr>
          <w:tblCellSpacing w:w="0" w:type="dxa"/>
        </w:trPr>
        <w:tc>
          <w:tcPr>
            <w:tcW w:w="3348" w:type="dxa"/>
            <w:shd w:val="clear" w:color="auto" w:fill="FFFFFF"/>
            <w:tcMar>
              <w:top w:w="0" w:type="dxa"/>
              <w:left w:w="108" w:type="dxa"/>
              <w:bottom w:w="0" w:type="dxa"/>
              <w:right w:w="108" w:type="dxa"/>
            </w:tcMar>
            <w:hideMark/>
          </w:tcPr>
          <w:p w:rsidR="00643EBA" w:rsidRPr="00643EBA" w:rsidRDefault="00643EBA" w:rsidP="00643EBA">
            <w:pPr>
              <w:spacing w:before="120" w:after="120" w:line="234" w:lineRule="atLeast"/>
              <w:jc w:val="center"/>
              <w:rPr>
                <w:rFonts w:asciiTheme="majorHAnsi" w:eastAsia="Times New Roman" w:hAnsiTheme="majorHAnsi" w:cstheme="majorHAnsi"/>
                <w:color w:val="000000"/>
                <w:lang w:eastAsia="vi-VN"/>
              </w:rPr>
            </w:pPr>
            <w:r w:rsidRPr="00643EBA">
              <w:rPr>
                <w:rFonts w:asciiTheme="majorHAnsi" w:eastAsia="Times New Roman" w:hAnsiTheme="majorHAnsi" w:cstheme="majorHAnsi"/>
                <w:b/>
                <w:bCs/>
                <w:color w:val="000000"/>
                <w:lang w:eastAsia="vi-VN"/>
              </w:rPr>
              <w:t>HỘI ĐỒNG THẨM PHÁN</w:t>
            </w:r>
            <w:r w:rsidRPr="00643EBA">
              <w:rPr>
                <w:rFonts w:asciiTheme="majorHAnsi" w:eastAsia="Times New Roman" w:hAnsiTheme="majorHAnsi" w:cstheme="majorHAnsi"/>
                <w:b/>
                <w:bCs/>
                <w:color w:val="000000"/>
                <w:lang w:eastAsia="vi-VN"/>
              </w:rPr>
              <w:br/>
              <w:t>TÒA ÁN NHÂN DÂN TỐI CAO</w:t>
            </w:r>
            <w:r w:rsidRPr="00643EBA">
              <w:rPr>
                <w:rFonts w:asciiTheme="majorHAnsi" w:eastAsia="Times New Roman" w:hAnsiTheme="majorHAnsi" w:cstheme="majorHAnsi"/>
                <w:b/>
                <w:bCs/>
                <w:color w:val="000000"/>
                <w:lang w:eastAsia="vi-VN"/>
              </w:rPr>
              <w:br/>
              <w:t>-------</w:t>
            </w:r>
          </w:p>
        </w:tc>
        <w:tc>
          <w:tcPr>
            <w:tcW w:w="5508" w:type="dxa"/>
            <w:shd w:val="clear" w:color="auto" w:fill="FFFFFF"/>
            <w:tcMar>
              <w:top w:w="0" w:type="dxa"/>
              <w:left w:w="108" w:type="dxa"/>
              <w:bottom w:w="0" w:type="dxa"/>
              <w:right w:w="108" w:type="dxa"/>
            </w:tcMar>
            <w:hideMark/>
          </w:tcPr>
          <w:p w:rsidR="00643EBA" w:rsidRPr="00643EBA" w:rsidRDefault="00643EBA" w:rsidP="00643EBA">
            <w:pPr>
              <w:spacing w:before="120" w:after="120" w:line="234" w:lineRule="atLeast"/>
              <w:jc w:val="center"/>
              <w:rPr>
                <w:rFonts w:asciiTheme="majorHAnsi" w:eastAsia="Times New Roman" w:hAnsiTheme="majorHAnsi" w:cstheme="majorHAnsi"/>
                <w:color w:val="000000"/>
                <w:lang w:eastAsia="vi-VN"/>
              </w:rPr>
            </w:pPr>
            <w:r w:rsidRPr="00643EBA">
              <w:rPr>
                <w:rFonts w:asciiTheme="majorHAnsi" w:eastAsia="Times New Roman" w:hAnsiTheme="majorHAnsi" w:cstheme="majorHAnsi"/>
                <w:b/>
                <w:bCs/>
                <w:color w:val="000000"/>
                <w:lang w:eastAsia="vi-VN"/>
              </w:rPr>
              <w:t>CỘNG HÒA XÃ HỘI CHỦ NGHĨA VIỆT NAM</w:t>
            </w:r>
            <w:r w:rsidRPr="00643EBA">
              <w:rPr>
                <w:rFonts w:asciiTheme="majorHAnsi" w:eastAsia="Times New Roman" w:hAnsiTheme="majorHAnsi" w:cstheme="majorHAnsi"/>
                <w:b/>
                <w:bCs/>
                <w:color w:val="000000"/>
                <w:lang w:eastAsia="vi-VN"/>
              </w:rPr>
              <w:br/>
              <w:t>Độc lập - Tự do - Hạnh phúc</w:t>
            </w:r>
            <w:r w:rsidRPr="00643EBA">
              <w:rPr>
                <w:rFonts w:asciiTheme="majorHAnsi" w:eastAsia="Times New Roman" w:hAnsiTheme="majorHAnsi" w:cstheme="majorHAnsi"/>
                <w:b/>
                <w:bCs/>
                <w:color w:val="000000"/>
                <w:lang w:eastAsia="vi-VN"/>
              </w:rPr>
              <w:br/>
              <w:t>---------------</w:t>
            </w:r>
          </w:p>
        </w:tc>
      </w:tr>
      <w:tr w:rsidR="00643EBA" w:rsidRPr="00643EBA" w:rsidTr="00643EBA">
        <w:trPr>
          <w:tblCellSpacing w:w="0" w:type="dxa"/>
        </w:trPr>
        <w:tc>
          <w:tcPr>
            <w:tcW w:w="3348" w:type="dxa"/>
            <w:shd w:val="clear" w:color="auto" w:fill="FFFFFF"/>
            <w:tcMar>
              <w:top w:w="0" w:type="dxa"/>
              <w:left w:w="108" w:type="dxa"/>
              <w:bottom w:w="0" w:type="dxa"/>
              <w:right w:w="108" w:type="dxa"/>
            </w:tcMar>
            <w:hideMark/>
          </w:tcPr>
          <w:p w:rsidR="00643EBA" w:rsidRPr="00643EBA" w:rsidRDefault="00643EBA" w:rsidP="00643EBA">
            <w:pPr>
              <w:spacing w:before="120" w:after="120" w:line="234" w:lineRule="atLeast"/>
              <w:jc w:val="center"/>
              <w:rPr>
                <w:rFonts w:asciiTheme="majorHAnsi" w:eastAsia="Times New Roman" w:hAnsiTheme="majorHAnsi" w:cstheme="majorHAnsi"/>
                <w:color w:val="000000"/>
                <w:lang w:eastAsia="vi-VN"/>
              </w:rPr>
            </w:pPr>
            <w:r w:rsidRPr="00643EBA">
              <w:rPr>
                <w:rFonts w:asciiTheme="majorHAnsi" w:eastAsia="Times New Roman" w:hAnsiTheme="majorHAnsi" w:cstheme="majorHAnsi"/>
                <w:color w:val="000000"/>
                <w:lang w:eastAsia="vi-VN"/>
              </w:rPr>
              <w:t>Số: 05/2019/NQ-HĐTP</w:t>
            </w:r>
          </w:p>
        </w:tc>
        <w:tc>
          <w:tcPr>
            <w:tcW w:w="5508" w:type="dxa"/>
            <w:shd w:val="clear" w:color="auto" w:fill="FFFFFF"/>
            <w:tcMar>
              <w:top w:w="0" w:type="dxa"/>
              <w:left w:w="108" w:type="dxa"/>
              <w:bottom w:w="0" w:type="dxa"/>
              <w:right w:w="108" w:type="dxa"/>
            </w:tcMar>
            <w:hideMark/>
          </w:tcPr>
          <w:p w:rsidR="00643EBA" w:rsidRPr="00643EBA" w:rsidRDefault="00643EBA" w:rsidP="00643EBA">
            <w:pPr>
              <w:spacing w:before="120" w:after="120" w:line="234" w:lineRule="atLeast"/>
              <w:jc w:val="right"/>
              <w:rPr>
                <w:rFonts w:asciiTheme="majorHAnsi" w:eastAsia="Times New Roman" w:hAnsiTheme="majorHAnsi" w:cstheme="majorHAnsi"/>
                <w:color w:val="000000"/>
                <w:lang w:eastAsia="vi-VN"/>
              </w:rPr>
            </w:pPr>
            <w:r w:rsidRPr="00643EBA">
              <w:rPr>
                <w:rFonts w:asciiTheme="majorHAnsi" w:eastAsia="Times New Roman" w:hAnsiTheme="majorHAnsi" w:cstheme="majorHAnsi"/>
                <w:i/>
                <w:iCs/>
                <w:color w:val="000000"/>
                <w:lang w:eastAsia="vi-VN"/>
              </w:rPr>
              <w:t>Hà Nội, ngày 15 tháng 8 năm 2019</w:t>
            </w:r>
          </w:p>
        </w:tc>
      </w:tr>
    </w:tbl>
    <w:p w:rsidR="00643EBA" w:rsidRPr="00643EBA" w:rsidRDefault="00643EBA" w:rsidP="00643EBA">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643EBA">
        <w:rPr>
          <w:rFonts w:ascii="Arial" w:eastAsia="Times New Roman" w:hAnsi="Arial" w:cs="Arial"/>
          <w:color w:val="000000"/>
          <w:sz w:val="18"/>
          <w:szCs w:val="18"/>
          <w:lang w:eastAsia="vi-VN"/>
        </w:rPr>
        <w:t> </w:t>
      </w:r>
    </w:p>
    <w:p w:rsidR="00643EBA" w:rsidRPr="00643EBA" w:rsidRDefault="00643EBA" w:rsidP="00643EB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643EBA">
        <w:rPr>
          <w:rFonts w:asciiTheme="majorHAnsi" w:eastAsia="Times New Roman" w:hAnsiTheme="majorHAnsi" w:cstheme="majorHAnsi"/>
          <w:b/>
          <w:bCs/>
          <w:color w:val="000000"/>
          <w:sz w:val="28"/>
          <w:szCs w:val="28"/>
          <w:lang w:eastAsia="vi-VN"/>
        </w:rPr>
        <w:t>NGHỊ QUYẾT</w:t>
      </w:r>
      <w:bookmarkEnd w:id="0"/>
    </w:p>
    <w:p w:rsidR="00643EBA" w:rsidRPr="00643EBA" w:rsidRDefault="00643EBA" w:rsidP="00643EB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643EBA">
        <w:rPr>
          <w:rFonts w:asciiTheme="majorHAnsi" w:eastAsia="Times New Roman" w:hAnsiTheme="majorHAnsi" w:cstheme="majorHAnsi"/>
          <w:color w:val="000000"/>
          <w:sz w:val="28"/>
          <w:szCs w:val="28"/>
          <w:lang w:eastAsia="vi-VN"/>
        </w:rPr>
        <w:t>HƯỚNG DẪN ÁP DỤNG ĐIỀU 214 VỀ TỘI GIAN LẬN BẢO HIỂM XÃ HỘI, BẢO HIỂM THẤT NGHIỆP, ĐIỀU 215 VỀ TỘI GIAN LẬN BẢO HIỂM Y TẾ VÀ ĐIỀU 216 VỀ TỘI TRỐN ĐÓNG BẢO HIỂM XÃ HỘI, BẢO HIỂM Y TẾ, BẢO HIỂM THẤT NGHIỆP CHO NGƯỜI LAO ĐỘNG CỦA BỘ LUẬT HÌNH SỰ</w:t>
      </w:r>
      <w:bookmarkStart w:id="2" w:name="_GoBack"/>
      <w:bookmarkEnd w:id="1"/>
      <w:bookmarkEnd w:id="2"/>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b/>
          <w:bCs/>
          <w:color w:val="000000"/>
          <w:sz w:val="28"/>
          <w:szCs w:val="28"/>
          <w:lang w:eastAsia="vi-VN"/>
        </w:rPr>
        <w:t>HỘI ĐỒNG THẨM PHÁN TÒA ÁN NHÂN DÂN TỐI CAO</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i/>
          <w:iCs/>
          <w:color w:val="000000"/>
          <w:sz w:val="28"/>
          <w:szCs w:val="28"/>
          <w:lang w:eastAsia="vi-VN"/>
        </w:rPr>
        <w:t>Căn cứ Luật tổ chức Tòa án nhân dân ngày 24 tháng 11 năm 2014;</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i/>
          <w:iCs/>
          <w:color w:val="000000"/>
          <w:sz w:val="28"/>
          <w:szCs w:val="28"/>
          <w:lang w:eastAsia="vi-VN"/>
        </w:rPr>
        <w:t>Để áp dụng đúng và thống nhất quy định tại các </w:t>
      </w:r>
      <w:bookmarkStart w:id="3" w:name="dc_1"/>
      <w:r w:rsidRPr="00643EBA">
        <w:rPr>
          <w:rFonts w:asciiTheme="majorHAnsi" w:eastAsia="Times New Roman" w:hAnsiTheme="majorHAnsi" w:cstheme="majorHAnsi"/>
          <w:i/>
          <w:iCs/>
          <w:color w:val="000000"/>
          <w:sz w:val="28"/>
          <w:szCs w:val="28"/>
          <w:lang w:eastAsia="vi-VN"/>
        </w:rPr>
        <w:t>điều 214, 215 và 216</w:t>
      </w:r>
      <w:bookmarkEnd w:id="3"/>
      <w:r w:rsidRPr="00643EBA">
        <w:rPr>
          <w:rFonts w:asciiTheme="majorHAnsi" w:eastAsia="Times New Roman" w:hAnsiTheme="majorHAnsi" w:cstheme="majorHAnsi"/>
          <w:i/>
          <w:iCs/>
          <w:color w:val="000000"/>
          <w:sz w:val="28"/>
          <w:szCs w:val="28"/>
          <w:lang w:eastAsia="vi-VN"/>
        </w:rPr>
        <w:t> của Bộ luật Hình sự số 100/2015/QH13 được sửa đổi, bổ sung một số điều theo Luật số 12/2017/QH14; Bộ luật Tố tụng hình sự số 101/2015/QH13;</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i/>
          <w:iCs/>
          <w:color w:val="000000"/>
          <w:sz w:val="28"/>
          <w:szCs w:val="28"/>
          <w:lang w:eastAsia="vi-VN"/>
        </w:rPr>
        <w:t>Sau khi có ý kiến của Viện trưởng Viện kiểm sát nhân dân tối cao và Bộ trưởng Bộ Tư pháp,</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b/>
          <w:bCs/>
          <w:color w:val="000000"/>
          <w:sz w:val="28"/>
          <w:szCs w:val="28"/>
          <w:lang w:eastAsia="vi-VN"/>
        </w:rPr>
        <w:t>QUYẾT NGHỊ:</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1"/>
      <w:r w:rsidRPr="00643EBA">
        <w:rPr>
          <w:rFonts w:asciiTheme="majorHAnsi" w:eastAsia="Times New Roman" w:hAnsiTheme="majorHAnsi" w:cstheme="majorHAnsi"/>
          <w:b/>
          <w:bCs/>
          <w:color w:val="000000"/>
          <w:sz w:val="28"/>
          <w:szCs w:val="28"/>
          <w:lang w:eastAsia="vi-VN"/>
        </w:rPr>
        <w:t>Điều 1. Phạm vi điều chỉnh</w:t>
      </w:r>
      <w:bookmarkEnd w:id="4"/>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Nghị quyết này hướng dẫn áp dụng một số quy định tại </w:t>
      </w:r>
      <w:bookmarkStart w:id="5" w:name="dc_2"/>
      <w:r w:rsidRPr="00643EBA">
        <w:rPr>
          <w:rFonts w:asciiTheme="majorHAnsi" w:eastAsia="Times New Roman" w:hAnsiTheme="majorHAnsi" w:cstheme="majorHAnsi"/>
          <w:color w:val="000000"/>
          <w:sz w:val="28"/>
          <w:szCs w:val="28"/>
          <w:lang w:eastAsia="vi-VN"/>
        </w:rPr>
        <w:t>Điều 214</w:t>
      </w:r>
      <w:bookmarkEnd w:id="5"/>
      <w:r w:rsidRPr="00643EBA">
        <w:rPr>
          <w:rFonts w:asciiTheme="majorHAnsi" w:eastAsia="Times New Roman" w:hAnsiTheme="majorHAnsi" w:cstheme="majorHAnsi"/>
          <w:color w:val="000000"/>
          <w:sz w:val="28"/>
          <w:szCs w:val="28"/>
          <w:lang w:eastAsia="vi-VN"/>
        </w:rPr>
        <w:t> về tội gian lận bảo hiểm xã hội, bảo hiểm thất nghiệp, </w:t>
      </w:r>
      <w:bookmarkStart w:id="6" w:name="dc_3"/>
      <w:r w:rsidRPr="00643EBA">
        <w:rPr>
          <w:rFonts w:asciiTheme="majorHAnsi" w:eastAsia="Times New Roman" w:hAnsiTheme="majorHAnsi" w:cstheme="majorHAnsi"/>
          <w:color w:val="000000"/>
          <w:sz w:val="28"/>
          <w:szCs w:val="28"/>
          <w:lang w:eastAsia="vi-VN"/>
        </w:rPr>
        <w:t>Điều 215</w:t>
      </w:r>
      <w:bookmarkEnd w:id="6"/>
      <w:r w:rsidRPr="00643EBA">
        <w:rPr>
          <w:rFonts w:asciiTheme="majorHAnsi" w:eastAsia="Times New Roman" w:hAnsiTheme="majorHAnsi" w:cstheme="majorHAnsi"/>
          <w:color w:val="000000"/>
          <w:sz w:val="28"/>
          <w:szCs w:val="28"/>
          <w:lang w:eastAsia="vi-VN"/>
        </w:rPr>
        <w:t> về tội gian lận bảo hiểm y tế và </w:t>
      </w:r>
      <w:bookmarkStart w:id="7" w:name="dc_4"/>
      <w:r w:rsidRPr="00643EBA">
        <w:rPr>
          <w:rFonts w:asciiTheme="majorHAnsi" w:eastAsia="Times New Roman" w:hAnsiTheme="majorHAnsi" w:cstheme="majorHAnsi"/>
          <w:color w:val="000000"/>
          <w:sz w:val="28"/>
          <w:szCs w:val="28"/>
          <w:lang w:eastAsia="vi-VN"/>
        </w:rPr>
        <w:t>Điều 216</w:t>
      </w:r>
      <w:bookmarkEnd w:id="7"/>
      <w:r w:rsidRPr="00643EBA">
        <w:rPr>
          <w:rFonts w:asciiTheme="majorHAnsi" w:eastAsia="Times New Roman" w:hAnsiTheme="majorHAnsi" w:cstheme="majorHAnsi"/>
          <w:color w:val="000000"/>
          <w:sz w:val="28"/>
          <w:szCs w:val="28"/>
          <w:lang w:eastAsia="vi-VN"/>
        </w:rPr>
        <w:t> về tội trốn đóng bảo hiểm xã hội, bảo hiểm y tế, bảo hiểm thất nghiệp cho người lao động của Bộ luật Hình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2"/>
      <w:r w:rsidRPr="00643EBA">
        <w:rPr>
          <w:rFonts w:asciiTheme="majorHAnsi" w:eastAsia="Times New Roman" w:hAnsiTheme="majorHAnsi" w:cstheme="majorHAnsi"/>
          <w:b/>
          <w:bCs/>
          <w:color w:val="000000"/>
          <w:sz w:val="28"/>
          <w:szCs w:val="28"/>
          <w:lang w:eastAsia="vi-VN"/>
        </w:rPr>
        <w:t>Điều 2. Về một số thuật ngữ được sử dụng trong hướng dẫn áp dụng các</w:t>
      </w:r>
      <w:bookmarkEnd w:id="8"/>
      <w:r w:rsidRPr="00643EBA">
        <w:rPr>
          <w:rFonts w:asciiTheme="majorHAnsi" w:eastAsia="Times New Roman" w:hAnsiTheme="majorHAnsi" w:cstheme="majorHAnsi"/>
          <w:b/>
          <w:bCs/>
          <w:color w:val="000000"/>
          <w:sz w:val="28"/>
          <w:szCs w:val="28"/>
          <w:lang w:eastAsia="vi-VN"/>
        </w:rPr>
        <w:t> </w:t>
      </w:r>
      <w:bookmarkStart w:id="9" w:name="dc_5"/>
      <w:r w:rsidRPr="00643EBA">
        <w:rPr>
          <w:rFonts w:asciiTheme="majorHAnsi" w:eastAsia="Times New Roman" w:hAnsiTheme="majorHAnsi" w:cstheme="majorHAnsi"/>
          <w:b/>
          <w:bCs/>
          <w:color w:val="000000"/>
          <w:sz w:val="28"/>
          <w:szCs w:val="28"/>
          <w:lang w:eastAsia="vi-VN"/>
        </w:rPr>
        <w:t>điều 214, 215 và 216 của Bộ luật Hình sự</w:t>
      </w:r>
      <w:bookmarkEnd w:id="9"/>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khoan_1_2"/>
      <w:r w:rsidRPr="00643EBA">
        <w:rPr>
          <w:rFonts w:asciiTheme="majorHAnsi" w:eastAsia="Times New Roman" w:hAnsiTheme="majorHAnsi" w:cstheme="majorHAnsi"/>
          <w:color w:val="000000"/>
          <w:sz w:val="28"/>
          <w:szCs w:val="28"/>
          <w:lang w:eastAsia="vi-VN"/>
        </w:rPr>
        <w:t>1. </w:t>
      </w:r>
      <w:r w:rsidRPr="00643EBA">
        <w:rPr>
          <w:rFonts w:asciiTheme="majorHAnsi" w:eastAsia="Times New Roman" w:hAnsiTheme="majorHAnsi" w:cstheme="majorHAnsi"/>
          <w:i/>
          <w:iCs/>
          <w:color w:val="000000"/>
          <w:sz w:val="28"/>
          <w:szCs w:val="28"/>
          <w:lang w:eastAsia="vi-VN"/>
        </w:rPr>
        <w:t>Lập hồ sơ giả</w:t>
      </w:r>
      <w:r w:rsidRPr="00643EBA">
        <w:rPr>
          <w:rFonts w:asciiTheme="majorHAnsi" w:eastAsia="Times New Roman" w:hAnsiTheme="majorHAnsi" w:cstheme="majorHAnsi"/>
          <w:color w:val="000000"/>
          <w:sz w:val="28"/>
          <w:szCs w:val="28"/>
          <w:lang w:eastAsia="vi-VN"/>
        </w:rPr>
        <w:t> quy định tại</w:t>
      </w:r>
      <w:bookmarkEnd w:id="10"/>
      <w:r w:rsidRPr="00643EBA">
        <w:rPr>
          <w:rFonts w:asciiTheme="majorHAnsi" w:eastAsia="Times New Roman" w:hAnsiTheme="majorHAnsi" w:cstheme="majorHAnsi"/>
          <w:color w:val="000000"/>
          <w:sz w:val="28"/>
          <w:szCs w:val="28"/>
          <w:lang w:eastAsia="vi-VN"/>
        </w:rPr>
        <w:t> </w:t>
      </w:r>
      <w:bookmarkStart w:id="11" w:name="dc_6"/>
      <w:r w:rsidRPr="00643EBA">
        <w:rPr>
          <w:rFonts w:asciiTheme="majorHAnsi" w:eastAsia="Times New Roman" w:hAnsiTheme="majorHAnsi" w:cstheme="majorHAnsi"/>
          <w:color w:val="000000"/>
          <w:sz w:val="28"/>
          <w:szCs w:val="28"/>
          <w:lang w:eastAsia="vi-VN"/>
        </w:rPr>
        <w:t>điểm a khoản 1 Điều 214</w:t>
      </w:r>
      <w:bookmarkEnd w:id="11"/>
      <w:r w:rsidRPr="00643EBA">
        <w:rPr>
          <w:rFonts w:asciiTheme="majorHAnsi" w:eastAsia="Times New Roman" w:hAnsiTheme="majorHAnsi" w:cstheme="majorHAnsi"/>
          <w:color w:val="000000"/>
          <w:sz w:val="28"/>
          <w:szCs w:val="28"/>
          <w:lang w:eastAsia="vi-VN"/>
        </w:rPr>
        <w:t> </w:t>
      </w:r>
      <w:bookmarkStart w:id="12" w:name="khoan_1_2_name"/>
      <w:r w:rsidRPr="00643EBA">
        <w:rPr>
          <w:rFonts w:asciiTheme="majorHAnsi" w:eastAsia="Times New Roman" w:hAnsiTheme="majorHAnsi" w:cstheme="majorHAnsi"/>
          <w:color w:val="000000"/>
          <w:sz w:val="28"/>
          <w:szCs w:val="28"/>
          <w:lang w:eastAsia="vi-VN"/>
        </w:rPr>
        <w:t>của Bộ luật Hình sự là hành vi lập hồ sơ bảo hiểm xã hội, bảo hiểm thất nghiệp trong đó có giấy tờ, tài liệu giả (ví dụ: giấy tờ, tài liệu không có thật, không do cơ quan có thẩm quyền cấp hoặc cấp không đúng quy định, không đúng thẩm quyền, không đúng thời hạn...) để thanh toán các chế độ: ốm đau; thai sản; tai nạn lao động, bệnh nghề nghiệp; hưu trí; tử tuất; trợ cấp thất nghiệp; hỗ trợ tư vấn, giới thiệu việc làm; hỗ trợ học nghề; hỗ trợ đào tạo bồi dưỡng nâng cao trình độ kỹ năng để duy trì việc làm cho người lao động và chế độ khác theo quy định của pháp luật.</w:t>
      </w:r>
      <w:bookmarkEnd w:id="12"/>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khoan_2_2"/>
      <w:r w:rsidRPr="00643EBA">
        <w:rPr>
          <w:rFonts w:asciiTheme="majorHAnsi" w:eastAsia="Times New Roman" w:hAnsiTheme="majorHAnsi" w:cstheme="majorHAnsi"/>
          <w:color w:val="000000"/>
          <w:sz w:val="28"/>
          <w:szCs w:val="28"/>
          <w:lang w:eastAsia="vi-VN"/>
        </w:rPr>
        <w:t>2. </w:t>
      </w:r>
      <w:r w:rsidRPr="00643EBA">
        <w:rPr>
          <w:rFonts w:asciiTheme="majorHAnsi" w:eastAsia="Times New Roman" w:hAnsiTheme="majorHAnsi" w:cstheme="majorHAnsi"/>
          <w:i/>
          <w:iCs/>
          <w:color w:val="000000"/>
          <w:sz w:val="28"/>
          <w:szCs w:val="28"/>
          <w:lang w:eastAsia="vi-VN"/>
        </w:rPr>
        <w:t>Lập hồ sơ bệnh án khống</w:t>
      </w:r>
      <w:r w:rsidRPr="00643EBA">
        <w:rPr>
          <w:rFonts w:asciiTheme="majorHAnsi" w:eastAsia="Times New Roman" w:hAnsiTheme="majorHAnsi" w:cstheme="majorHAnsi"/>
          <w:color w:val="000000"/>
          <w:sz w:val="28"/>
          <w:szCs w:val="28"/>
          <w:lang w:eastAsia="vi-VN"/>
        </w:rPr>
        <w:t> quy định tại</w:t>
      </w:r>
      <w:bookmarkEnd w:id="13"/>
      <w:r w:rsidRPr="00643EBA">
        <w:rPr>
          <w:rFonts w:asciiTheme="majorHAnsi" w:eastAsia="Times New Roman" w:hAnsiTheme="majorHAnsi" w:cstheme="majorHAnsi"/>
          <w:color w:val="000000"/>
          <w:sz w:val="28"/>
          <w:szCs w:val="28"/>
          <w:lang w:eastAsia="vi-VN"/>
        </w:rPr>
        <w:t> </w:t>
      </w:r>
      <w:bookmarkStart w:id="14" w:name="dc_7"/>
      <w:r w:rsidRPr="00643EBA">
        <w:rPr>
          <w:rFonts w:asciiTheme="majorHAnsi" w:eastAsia="Times New Roman" w:hAnsiTheme="majorHAnsi" w:cstheme="majorHAnsi"/>
          <w:color w:val="000000"/>
          <w:sz w:val="28"/>
          <w:szCs w:val="28"/>
          <w:lang w:eastAsia="vi-VN"/>
        </w:rPr>
        <w:t>điểm a khoản 1 Điều 215</w:t>
      </w:r>
      <w:bookmarkEnd w:id="14"/>
      <w:r w:rsidRPr="00643EBA">
        <w:rPr>
          <w:rFonts w:asciiTheme="majorHAnsi" w:eastAsia="Times New Roman" w:hAnsiTheme="majorHAnsi" w:cstheme="majorHAnsi"/>
          <w:color w:val="000000"/>
          <w:sz w:val="28"/>
          <w:szCs w:val="28"/>
          <w:lang w:eastAsia="vi-VN"/>
        </w:rPr>
        <w:t> </w:t>
      </w:r>
      <w:bookmarkStart w:id="15" w:name="khoan_2_2_name"/>
      <w:r w:rsidRPr="00643EBA">
        <w:rPr>
          <w:rFonts w:asciiTheme="majorHAnsi" w:eastAsia="Times New Roman" w:hAnsiTheme="majorHAnsi" w:cstheme="majorHAnsi"/>
          <w:color w:val="000000"/>
          <w:sz w:val="28"/>
          <w:szCs w:val="28"/>
          <w:lang w:eastAsia="vi-VN"/>
        </w:rPr>
        <w:t>của Bộ luật Hình sự là trường hợp không có sự việc khám bệnh, chữa bệnh hoặc có sự việc khám bệnh, chữa bệnh của người tham gia bảo hiểm y tế nhưng họ không phải điều trị mà vẫn lập hồ sơ bệnh án cho họ.</w:t>
      </w:r>
      <w:bookmarkEnd w:id="15"/>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3. </w:t>
      </w:r>
      <w:r w:rsidRPr="00643EBA">
        <w:rPr>
          <w:rFonts w:asciiTheme="majorHAnsi" w:eastAsia="Times New Roman" w:hAnsiTheme="majorHAnsi" w:cstheme="majorHAnsi"/>
          <w:i/>
          <w:iCs/>
          <w:color w:val="000000"/>
          <w:sz w:val="28"/>
          <w:szCs w:val="28"/>
          <w:lang w:eastAsia="vi-VN"/>
        </w:rPr>
        <w:t>Kê đơn thuốc khống</w:t>
      </w:r>
      <w:r w:rsidRPr="00643EBA">
        <w:rPr>
          <w:rFonts w:asciiTheme="majorHAnsi" w:eastAsia="Times New Roman" w:hAnsiTheme="majorHAnsi" w:cstheme="majorHAnsi"/>
          <w:color w:val="000000"/>
          <w:sz w:val="28"/>
          <w:szCs w:val="28"/>
          <w:lang w:eastAsia="vi-VN"/>
        </w:rPr>
        <w:t> quy định tại </w:t>
      </w:r>
      <w:bookmarkStart w:id="16" w:name="dc_8"/>
      <w:r w:rsidRPr="00643EBA">
        <w:rPr>
          <w:rFonts w:asciiTheme="majorHAnsi" w:eastAsia="Times New Roman" w:hAnsiTheme="majorHAnsi" w:cstheme="majorHAnsi"/>
          <w:color w:val="000000"/>
          <w:sz w:val="28"/>
          <w:szCs w:val="28"/>
          <w:lang w:eastAsia="vi-VN"/>
        </w:rPr>
        <w:t>điểm a khoản 1 Điều 215</w:t>
      </w:r>
      <w:bookmarkEnd w:id="16"/>
      <w:r w:rsidRPr="00643EBA">
        <w:rPr>
          <w:rFonts w:asciiTheme="majorHAnsi" w:eastAsia="Times New Roman" w:hAnsiTheme="majorHAnsi" w:cstheme="majorHAnsi"/>
          <w:color w:val="000000"/>
          <w:sz w:val="28"/>
          <w:szCs w:val="28"/>
          <w:lang w:eastAsia="vi-VN"/>
        </w:rPr>
        <w:t xml:space="preserve"> của Bộ luật Hình sự là trường hợp không có sự việc khám bệnh, chữa bệnh hoặc có sự việc khám </w:t>
      </w:r>
      <w:r w:rsidRPr="00643EBA">
        <w:rPr>
          <w:rFonts w:asciiTheme="majorHAnsi" w:eastAsia="Times New Roman" w:hAnsiTheme="majorHAnsi" w:cstheme="majorHAnsi"/>
          <w:color w:val="000000"/>
          <w:sz w:val="28"/>
          <w:szCs w:val="28"/>
          <w:lang w:eastAsia="vi-VN"/>
        </w:rPr>
        <w:lastRenderedPageBreak/>
        <w:t>bệnh, chữa bệnh của người tham gia bảo hiểm y tế nhưng không có việc sử dụng thuốc mà vẫn kê đơn thuốc cho người có thẻ bảo hiểm y tế.</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4. </w:t>
      </w:r>
      <w:r w:rsidRPr="00643EBA">
        <w:rPr>
          <w:rFonts w:asciiTheme="majorHAnsi" w:eastAsia="Times New Roman" w:hAnsiTheme="majorHAnsi" w:cstheme="majorHAnsi"/>
          <w:i/>
          <w:iCs/>
          <w:color w:val="000000"/>
          <w:sz w:val="28"/>
          <w:szCs w:val="28"/>
          <w:lang w:eastAsia="vi-VN"/>
        </w:rPr>
        <w:t>Kê tăng số lượng hoặc thêm loại thuốc, vật tư y tế, dịch vụ kỹ thuật, chi phí giường bệnh</w:t>
      </w:r>
      <w:r w:rsidRPr="00643EBA">
        <w:rPr>
          <w:rFonts w:asciiTheme="majorHAnsi" w:eastAsia="Times New Roman" w:hAnsiTheme="majorHAnsi" w:cstheme="majorHAnsi"/>
          <w:color w:val="000000"/>
          <w:sz w:val="28"/>
          <w:szCs w:val="28"/>
          <w:lang w:eastAsia="vi-VN"/>
        </w:rPr>
        <w:t> quy định tại </w:t>
      </w:r>
      <w:bookmarkStart w:id="17" w:name="dc_9"/>
      <w:r w:rsidRPr="00643EBA">
        <w:rPr>
          <w:rFonts w:asciiTheme="majorHAnsi" w:eastAsia="Times New Roman" w:hAnsiTheme="majorHAnsi" w:cstheme="majorHAnsi"/>
          <w:color w:val="000000"/>
          <w:sz w:val="28"/>
          <w:szCs w:val="28"/>
          <w:lang w:eastAsia="vi-VN"/>
        </w:rPr>
        <w:t>điểm a khoản 1 Điều 215</w:t>
      </w:r>
      <w:bookmarkEnd w:id="17"/>
      <w:r w:rsidRPr="00643EBA">
        <w:rPr>
          <w:rFonts w:asciiTheme="majorHAnsi" w:eastAsia="Times New Roman" w:hAnsiTheme="majorHAnsi" w:cstheme="majorHAnsi"/>
          <w:color w:val="000000"/>
          <w:sz w:val="28"/>
          <w:szCs w:val="28"/>
          <w:lang w:eastAsia="vi-VN"/>
        </w:rPr>
        <w:t> của Bộ luật Hình sự là trường hợp có sự việc khám bệnh, chữa bệnh của người tham gia bảo hiểm y tế nhưng kê số lượng thuốc, vật tư y tế, dịch vụ kỹ thuật nhiều hơn số lượng thuốc, vật tư y tế, dịch vụ kỹ thuật mà thực tế người bệnh sử dụng hoặc kê thêm các loại thuốc, vật tư y tế, dịch vụ kỹ thuật mà thực tế người bệnh không sử dụng; kê tăng số lượng ngày điều trị nội trú tại cơ sở khám bệnh, chữa bệnh hoặc kê không đúng tên thuốc, vật tư y tế, loại giường và các dịch vụ kỹ thuật khác mà thực tế người bệnh đã sử dụng để làm tăng tiền chi phí khám bệnh, chữa bệnh thanh toán với quỹ bảo hiểm y tế.</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5. </w:t>
      </w:r>
      <w:r w:rsidRPr="00643EBA">
        <w:rPr>
          <w:rFonts w:asciiTheme="majorHAnsi" w:eastAsia="Times New Roman" w:hAnsiTheme="majorHAnsi" w:cstheme="majorHAnsi"/>
          <w:i/>
          <w:iCs/>
          <w:color w:val="000000"/>
          <w:sz w:val="28"/>
          <w:szCs w:val="28"/>
          <w:lang w:eastAsia="vi-VN"/>
        </w:rPr>
        <w:t>Chi phí khác</w:t>
      </w:r>
      <w:r w:rsidRPr="00643EBA">
        <w:rPr>
          <w:rFonts w:asciiTheme="majorHAnsi" w:eastAsia="Times New Roman" w:hAnsiTheme="majorHAnsi" w:cstheme="majorHAnsi"/>
          <w:color w:val="000000"/>
          <w:sz w:val="28"/>
          <w:szCs w:val="28"/>
          <w:lang w:eastAsia="vi-VN"/>
        </w:rPr>
        <w:t> quy định tại </w:t>
      </w:r>
      <w:bookmarkStart w:id="18" w:name="dc_10"/>
      <w:r w:rsidRPr="00643EBA">
        <w:rPr>
          <w:rFonts w:asciiTheme="majorHAnsi" w:eastAsia="Times New Roman" w:hAnsiTheme="majorHAnsi" w:cstheme="majorHAnsi"/>
          <w:color w:val="000000"/>
          <w:sz w:val="28"/>
          <w:szCs w:val="28"/>
          <w:lang w:eastAsia="vi-VN"/>
        </w:rPr>
        <w:t>điểm a khoản 1 Điều 215</w:t>
      </w:r>
      <w:bookmarkEnd w:id="18"/>
      <w:r w:rsidRPr="00643EBA">
        <w:rPr>
          <w:rFonts w:asciiTheme="majorHAnsi" w:eastAsia="Times New Roman" w:hAnsiTheme="majorHAnsi" w:cstheme="majorHAnsi"/>
          <w:color w:val="000000"/>
          <w:sz w:val="28"/>
          <w:szCs w:val="28"/>
          <w:lang w:eastAsia="vi-VN"/>
        </w:rPr>
        <w:t> của Bộ luật Hình sự là các chi phí phát sinh trong quá trình khám bệnh, chữa bệnh tại cơ sở khám bệnh, chữa bệnh không bao gồm chi phí tiền thuốc, vật tư y tế, dịch vụ kỹ thuật và chi phí giường bệnh (ví dụ: tiền công khám, chi phí vận chuyển người bệnh...).</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6. </w:t>
      </w:r>
      <w:r w:rsidRPr="00643EBA">
        <w:rPr>
          <w:rFonts w:asciiTheme="majorHAnsi" w:eastAsia="Times New Roman" w:hAnsiTheme="majorHAnsi" w:cstheme="majorHAnsi"/>
          <w:i/>
          <w:iCs/>
          <w:color w:val="000000"/>
          <w:sz w:val="28"/>
          <w:szCs w:val="28"/>
          <w:lang w:eastAsia="vi-VN"/>
        </w:rPr>
        <w:t>Giả mạo hồ sơ, thẻ bảo hiểm y tế</w:t>
      </w:r>
      <w:r w:rsidRPr="00643EBA">
        <w:rPr>
          <w:rFonts w:asciiTheme="majorHAnsi" w:eastAsia="Times New Roman" w:hAnsiTheme="majorHAnsi" w:cstheme="majorHAnsi"/>
          <w:color w:val="000000"/>
          <w:sz w:val="28"/>
          <w:szCs w:val="28"/>
          <w:lang w:eastAsia="vi-VN"/>
        </w:rPr>
        <w:t> quy định tại </w:t>
      </w:r>
      <w:bookmarkStart w:id="19" w:name="dc_11"/>
      <w:r w:rsidRPr="00643EBA">
        <w:rPr>
          <w:rFonts w:asciiTheme="majorHAnsi" w:eastAsia="Times New Roman" w:hAnsiTheme="majorHAnsi" w:cstheme="majorHAnsi"/>
          <w:color w:val="000000"/>
          <w:sz w:val="28"/>
          <w:szCs w:val="28"/>
          <w:lang w:eastAsia="vi-VN"/>
        </w:rPr>
        <w:t>điểm b khoản 1 Điều 215</w:t>
      </w:r>
      <w:bookmarkEnd w:id="19"/>
      <w:r w:rsidRPr="00643EBA">
        <w:rPr>
          <w:rFonts w:asciiTheme="majorHAnsi" w:eastAsia="Times New Roman" w:hAnsiTheme="majorHAnsi" w:cstheme="majorHAnsi"/>
          <w:color w:val="000000"/>
          <w:sz w:val="28"/>
          <w:szCs w:val="28"/>
          <w:lang w:eastAsia="vi-VN"/>
        </w:rPr>
        <w:t> của Bộ luật Hình sự là hành vi lập, sử dụng hồ sơ, thẻ bảo hiểm y tế không do cơ quan có thẩm quyền cấp hoặc giả mạo hồ sơ, thẻ bảo hiểm y tế của người khác để hưởng chế độ bảo hiểm y tế trái quy định.</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7. </w:t>
      </w:r>
      <w:r w:rsidRPr="00643EBA">
        <w:rPr>
          <w:rFonts w:asciiTheme="majorHAnsi" w:eastAsia="Times New Roman" w:hAnsiTheme="majorHAnsi" w:cstheme="majorHAnsi"/>
          <w:i/>
          <w:iCs/>
          <w:color w:val="000000"/>
          <w:sz w:val="28"/>
          <w:szCs w:val="28"/>
          <w:lang w:eastAsia="vi-VN"/>
        </w:rPr>
        <w:t>Thẻ bảo hiểm y tế được cấp khống</w:t>
      </w:r>
      <w:r w:rsidRPr="00643EBA">
        <w:rPr>
          <w:rFonts w:asciiTheme="majorHAnsi" w:eastAsia="Times New Roman" w:hAnsiTheme="majorHAnsi" w:cstheme="majorHAnsi"/>
          <w:color w:val="000000"/>
          <w:sz w:val="28"/>
          <w:szCs w:val="28"/>
          <w:lang w:eastAsia="vi-VN"/>
        </w:rPr>
        <w:t> quy định tại </w:t>
      </w:r>
      <w:bookmarkStart w:id="20" w:name="dc_12"/>
      <w:r w:rsidRPr="00643EBA">
        <w:rPr>
          <w:rFonts w:asciiTheme="majorHAnsi" w:eastAsia="Times New Roman" w:hAnsiTheme="majorHAnsi" w:cstheme="majorHAnsi"/>
          <w:color w:val="000000"/>
          <w:sz w:val="28"/>
          <w:szCs w:val="28"/>
          <w:lang w:eastAsia="vi-VN"/>
        </w:rPr>
        <w:t>điểm b khoản 1 Điều 215</w:t>
      </w:r>
      <w:bookmarkEnd w:id="20"/>
      <w:r w:rsidRPr="00643EBA">
        <w:rPr>
          <w:rFonts w:asciiTheme="majorHAnsi" w:eastAsia="Times New Roman" w:hAnsiTheme="majorHAnsi" w:cstheme="majorHAnsi"/>
          <w:color w:val="000000"/>
          <w:sz w:val="28"/>
          <w:szCs w:val="28"/>
          <w:lang w:eastAsia="vi-VN"/>
        </w:rPr>
        <w:t> của Bộ luật Hình sự là thẻ bảo hiểm y tế do cơ quan nhà nước có thẩm quyền cấp cho người không đóng hoặc không thuộc diện được các tổ chức, nguồn quỹ khác đóng bảo hiểm y tế theo quy định.</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8. </w:t>
      </w:r>
      <w:r w:rsidRPr="00643EBA">
        <w:rPr>
          <w:rFonts w:asciiTheme="majorHAnsi" w:eastAsia="Times New Roman" w:hAnsiTheme="majorHAnsi" w:cstheme="majorHAnsi"/>
          <w:i/>
          <w:iCs/>
          <w:color w:val="000000"/>
          <w:sz w:val="28"/>
          <w:szCs w:val="28"/>
          <w:lang w:eastAsia="vi-VN"/>
        </w:rPr>
        <w:t>Thẻ bảo hiểm y tế giả</w:t>
      </w:r>
      <w:r w:rsidRPr="00643EBA">
        <w:rPr>
          <w:rFonts w:asciiTheme="majorHAnsi" w:eastAsia="Times New Roman" w:hAnsiTheme="majorHAnsi" w:cstheme="majorHAnsi"/>
          <w:color w:val="000000"/>
          <w:sz w:val="28"/>
          <w:szCs w:val="28"/>
          <w:lang w:eastAsia="vi-VN"/>
        </w:rPr>
        <w:t> quy định tại </w:t>
      </w:r>
      <w:bookmarkStart w:id="21" w:name="dc_13"/>
      <w:r w:rsidRPr="00643EBA">
        <w:rPr>
          <w:rFonts w:asciiTheme="majorHAnsi" w:eastAsia="Times New Roman" w:hAnsiTheme="majorHAnsi" w:cstheme="majorHAnsi"/>
          <w:color w:val="000000"/>
          <w:sz w:val="28"/>
          <w:szCs w:val="28"/>
          <w:lang w:eastAsia="vi-VN"/>
        </w:rPr>
        <w:t>điểm b khoản 1 Điều 215</w:t>
      </w:r>
      <w:bookmarkEnd w:id="21"/>
      <w:r w:rsidRPr="00643EBA">
        <w:rPr>
          <w:rFonts w:asciiTheme="majorHAnsi" w:eastAsia="Times New Roman" w:hAnsiTheme="majorHAnsi" w:cstheme="majorHAnsi"/>
          <w:color w:val="000000"/>
          <w:sz w:val="28"/>
          <w:szCs w:val="28"/>
          <w:lang w:eastAsia="vi-VN"/>
        </w:rPr>
        <w:t> của Bộ luật Hình sự là thẻ bảo hiểm y tế không do cơ quan nhà nước có thẩm quyền cấp.</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9. </w:t>
      </w:r>
      <w:r w:rsidRPr="00643EBA">
        <w:rPr>
          <w:rFonts w:asciiTheme="majorHAnsi" w:eastAsia="Times New Roman" w:hAnsiTheme="majorHAnsi" w:cstheme="majorHAnsi"/>
          <w:i/>
          <w:iCs/>
          <w:color w:val="000000"/>
          <w:sz w:val="28"/>
          <w:szCs w:val="28"/>
          <w:lang w:eastAsia="vi-VN"/>
        </w:rPr>
        <w:t>Thẻ đã bị thu hồi, thẻ bị sửa chữa</w:t>
      </w:r>
      <w:r w:rsidRPr="00643EBA">
        <w:rPr>
          <w:rFonts w:asciiTheme="majorHAnsi" w:eastAsia="Times New Roman" w:hAnsiTheme="majorHAnsi" w:cstheme="majorHAnsi"/>
          <w:color w:val="000000"/>
          <w:sz w:val="28"/>
          <w:szCs w:val="28"/>
          <w:lang w:eastAsia="vi-VN"/>
        </w:rPr>
        <w:t> quy định tại </w:t>
      </w:r>
      <w:bookmarkStart w:id="22" w:name="dc_14"/>
      <w:r w:rsidRPr="00643EBA">
        <w:rPr>
          <w:rFonts w:asciiTheme="majorHAnsi" w:eastAsia="Times New Roman" w:hAnsiTheme="majorHAnsi" w:cstheme="majorHAnsi"/>
          <w:color w:val="000000"/>
          <w:sz w:val="28"/>
          <w:szCs w:val="28"/>
          <w:lang w:eastAsia="vi-VN"/>
        </w:rPr>
        <w:t>điểm b khoản 1 Điều 215</w:t>
      </w:r>
      <w:bookmarkEnd w:id="22"/>
      <w:r w:rsidRPr="00643EBA">
        <w:rPr>
          <w:rFonts w:asciiTheme="majorHAnsi" w:eastAsia="Times New Roman" w:hAnsiTheme="majorHAnsi" w:cstheme="majorHAnsi"/>
          <w:color w:val="000000"/>
          <w:sz w:val="28"/>
          <w:szCs w:val="28"/>
          <w:lang w:eastAsia="vi-VN"/>
        </w:rPr>
        <w:t> của Bộ luật Hình sự là thẻ bảo hiểm y tế được cơ quan nhà nước có thẩm quyền cấp cho người tham gia bảo hiểm y tế nhưng đã bị thu hồi theo quy định của pháp luật và bảo hiểm y tế hoặc thẻ đã bị sửa chữa, làm sai lệch thông tin của người có thẻ.</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khoan_10_2"/>
      <w:r w:rsidRPr="00643EBA">
        <w:rPr>
          <w:rFonts w:asciiTheme="majorHAnsi" w:eastAsia="Times New Roman" w:hAnsiTheme="majorHAnsi" w:cstheme="majorHAnsi"/>
          <w:color w:val="000000"/>
          <w:sz w:val="28"/>
          <w:szCs w:val="28"/>
          <w:lang w:eastAsia="vi-VN"/>
        </w:rPr>
        <w:t>10. </w:t>
      </w:r>
      <w:r w:rsidRPr="00643EBA">
        <w:rPr>
          <w:rFonts w:asciiTheme="majorHAnsi" w:eastAsia="Times New Roman" w:hAnsiTheme="majorHAnsi" w:cstheme="majorHAnsi"/>
          <w:i/>
          <w:iCs/>
          <w:color w:val="000000"/>
          <w:sz w:val="28"/>
          <w:szCs w:val="28"/>
          <w:lang w:eastAsia="vi-VN"/>
        </w:rPr>
        <w:t>Trốn đóng bảo hiểm</w:t>
      </w:r>
      <w:r w:rsidRPr="00643EBA">
        <w:rPr>
          <w:rFonts w:asciiTheme="majorHAnsi" w:eastAsia="Times New Roman" w:hAnsiTheme="majorHAnsi" w:cstheme="majorHAnsi"/>
          <w:color w:val="000000"/>
          <w:sz w:val="28"/>
          <w:szCs w:val="28"/>
          <w:lang w:eastAsia="vi-VN"/>
        </w:rPr>
        <w:t> quy định tại</w:t>
      </w:r>
      <w:bookmarkEnd w:id="23"/>
      <w:r w:rsidRPr="00643EBA">
        <w:rPr>
          <w:rFonts w:asciiTheme="majorHAnsi" w:eastAsia="Times New Roman" w:hAnsiTheme="majorHAnsi" w:cstheme="majorHAnsi"/>
          <w:color w:val="000000"/>
          <w:sz w:val="28"/>
          <w:szCs w:val="28"/>
          <w:lang w:eastAsia="vi-VN"/>
        </w:rPr>
        <w:t> </w:t>
      </w:r>
      <w:bookmarkStart w:id="24" w:name="dc_15"/>
      <w:r w:rsidRPr="00643EBA">
        <w:rPr>
          <w:rFonts w:asciiTheme="majorHAnsi" w:eastAsia="Times New Roman" w:hAnsiTheme="majorHAnsi" w:cstheme="majorHAnsi"/>
          <w:color w:val="000000"/>
          <w:sz w:val="28"/>
          <w:szCs w:val="28"/>
          <w:lang w:eastAsia="vi-VN"/>
        </w:rPr>
        <w:t>Điều 216</w:t>
      </w:r>
      <w:bookmarkEnd w:id="24"/>
      <w:r w:rsidRPr="00643EBA">
        <w:rPr>
          <w:rFonts w:asciiTheme="majorHAnsi" w:eastAsia="Times New Roman" w:hAnsiTheme="majorHAnsi" w:cstheme="majorHAnsi"/>
          <w:color w:val="000000"/>
          <w:sz w:val="28"/>
          <w:szCs w:val="28"/>
          <w:lang w:eastAsia="vi-VN"/>
        </w:rPr>
        <w:t> </w:t>
      </w:r>
      <w:bookmarkStart w:id="25" w:name="khoan_10_2_name"/>
      <w:r w:rsidRPr="00643EBA">
        <w:rPr>
          <w:rFonts w:asciiTheme="majorHAnsi" w:eastAsia="Times New Roman" w:hAnsiTheme="majorHAnsi" w:cstheme="majorHAnsi"/>
          <w:color w:val="000000"/>
          <w:sz w:val="28"/>
          <w:szCs w:val="28"/>
          <w:lang w:eastAsia="vi-VN"/>
        </w:rPr>
        <w:t>của Bộ luật Hình sự là hành vi của người sử dụng lao động có nghĩa vụ đóng bảo hiểm xã hội, bảo hiểm y tế, bảo hiểm thất nghiệp cho người lao động mà gian dối hoặc bằng thủ đoạn khác để không đóng hoặc không đóng đầy đủ bảo hiểm xã hội, bảo hiểm y tế, bảo hiểm thất nghiệp cho người lao động thuộc đối tượng phải tham gia bảo hiểm xã hội, bảo hiểm y tế, bảo hiểm thất nghiệp.</w:t>
      </w:r>
      <w:bookmarkEnd w:id="25"/>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11. </w:t>
      </w:r>
      <w:r w:rsidRPr="00643EBA">
        <w:rPr>
          <w:rFonts w:asciiTheme="majorHAnsi" w:eastAsia="Times New Roman" w:hAnsiTheme="majorHAnsi" w:cstheme="majorHAnsi"/>
          <w:i/>
          <w:iCs/>
          <w:color w:val="000000"/>
          <w:sz w:val="28"/>
          <w:szCs w:val="28"/>
          <w:lang w:eastAsia="vi-VN"/>
        </w:rPr>
        <w:t>Gian dối để không đóng, không đóng đầy đủ tiền bảo hiểm xã hội, bảo hiểm y tế, bảo hiểm thất nghiệp</w:t>
      </w:r>
      <w:r w:rsidRPr="00643EBA">
        <w:rPr>
          <w:rFonts w:asciiTheme="majorHAnsi" w:eastAsia="Times New Roman" w:hAnsiTheme="majorHAnsi" w:cstheme="majorHAnsi"/>
          <w:color w:val="000000"/>
          <w:sz w:val="28"/>
          <w:szCs w:val="28"/>
          <w:lang w:eastAsia="vi-VN"/>
        </w:rPr>
        <w:t> quy định tại </w:t>
      </w:r>
      <w:bookmarkStart w:id="26" w:name="dc_16"/>
      <w:r w:rsidRPr="00643EBA">
        <w:rPr>
          <w:rFonts w:asciiTheme="majorHAnsi" w:eastAsia="Times New Roman" w:hAnsiTheme="majorHAnsi" w:cstheme="majorHAnsi"/>
          <w:color w:val="000000"/>
          <w:sz w:val="28"/>
          <w:szCs w:val="28"/>
          <w:lang w:eastAsia="vi-VN"/>
        </w:rPr>
        <w:t>khoản 1 Điều 216</w:t>
      </w:r>
      <w:bookmarkEnd w:id="26"/>
      <w:r w:rsidRPr="00643EBA">
        <w:rPr>
          <w:rFonts w:asciiTheme="majorHAnsi" w:eastAsia="Times New Roman" w:hAnsiTheme="majorHAnsi" w:cstheme="majorHAnsi"/>
          <w:color w:val="000000"/>
          <w:sz w:val="28"/>
          <w:szCs w:val="28"/>
          <w:lang w:eastAsia="vi-VN"/>
        </w:rPr>
        <w:t> của Bộ luật Hình sự là trường hợp cố ý không kê khai hoặc kê khai không đúng thực tế việc đóng bảo hiểm xã hội, bảo hiểm y tế, bảo hiểm thất nghiệp với cơ quan có thẩm quyền.</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12. </w:t>
      </w:r>
      <w:r w:rsidRPr="00643EBA">
        <w:rPr>
          <w:rFonts w:asciiTheme="majorHAnsi" w:eastAsia="Times New Roman" w:hAnsiTheme="majorHAnsi" w:cstheme="majorHAnsi"/>
          <w:i/>
          <w:iCs/>
          <w:color w:val="000000"/>
          <w:sz w:val="28"/>
          <w:szCs w:val="28"/>
          <w:lang w:eastAsia="vi-VN"/>
        </w:rPr>
        <w:t>Không đóng tiền bảo hiểm xã hội, bảo hiểm y tế, bảo hiểm thất nghiệp</w:t>
      </w:r>
      <w:r w:rsidRPr="00643EBA">
        <w:rPr>
          <w:rFonts w:asciiTheme="majorHAnsi" w:eastAsia="Times New Roman" w:hAnsiTheme="majorHAnsi" w:cstheme="majorHAnsi"/>
          <w:color w:val="000000"/>
          <w:sz w:val="28"/>
          <w:szCs w:val="28"/>
          <w:lang w:eastAsia="vi-VN"/>
        </w:rPr>
        <w:t> quy định tại </w:t>
      </w:r>
      <w:bookmarkStart w:id="27" w:name="dc_17"/>
      <w:r w:rsidRPr="00643EBA">
        <w:rPr>
          <w:rFonts w:asciiTheme="majorHAnsi" w:eastAsia="Times New Roman" w:hAnsiTheme="majorHAnsi" w:cstheme="majorHAnsi"/>
          <w:color w:val="000000"/>
          <w:sz w:val="28"/>
          <w:szCs w:val="28"/>
          <w:lang w:eastAsia="vi-VN"/>
        </w:rPr>
        <w:t>khoản 1 Điều 216</w:t>
      </w:r>
      <w:bookmarkEnd w:id="27"/>
      <w:r w:rsidRPr="00643EBA">
        <w:rPr>
          <w:rFonts w:asciiTheme="majorHAnsi" w:eastAsia="Times New Roman" w:hAnsiTheme="majorHAnsi" w:cstheme="majorHAnsi"/>
          <w:color w:val="000000"/>
          <w:sz w:val="28"/>
          <w:szCs w:val="28"/>
          <w:lang w:eastAsia="vi-VN"/>
        </w:rPr>
        <w:t xml:space="preserve"> của Bộ luật Hình sự là trường hợp người sử dụng lao động không gửi hồ sơ đăng ký đóng bảo hiểm xã hội, bảo hiểm y tế, bảo hiểm thất nghiệp đối với người lao động hoặc có gửi hồ sơ và đã xác định rõ, đầy đủ </w:t>
      </w:r>
      <w:r w:rsidRPr="00643EBA">
        <w:rPr>
          <w:rFonts w:asciiTheme="majorHAnsi" w:eastAsia="Times New Roman" w:hAnsiTheme="majorHAnsi" w:cstheme="majorHAnsi"/>
          <w:color w:val="000000"/>
          <w:sz w:val="28"/>
          <w:szCs w:val="28"/>
          <w:lang w:eastAsia="vi-VN"/>
        </w:rPr>
        <w:lastRenderedPageBreak/>
        <w:t>số người phải đóng hoặc các khoản phải đóng, lập chứng từ, hồ sơ quyết toán lương cho người lao động, thu nhập doanh nghiệp, nhưng không đóng tiền bảo hiểm xã hội, bảo hiểm y tế, bảo hiểm thất nghiệp cho cơ quan bảo hiểm xã hội theo quy định.</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13. </w:t>
      </w:r>
      <w:r w:rsidRPr="00643EBA">
        <w:rPr>
          <w:rFonts w:asciiTheme="majorHAnsi" w:eastAsia="Times New Roman" w:hAnsiTheme="majorHAnsi" w:cstheme="majorHAnsi"/>
          <w:i/>
          <w:iCs/>
          <w:color w:val="000000"/>
          <w:sz w:val="28"/>
          <w:szCs w:val="28"/>
          <w:lang w:eastAsia="vi-VN"/>
        </w:rPr>
        <w:t>Không đóng đầy đủ</w:t>
      </w:r>
      <w:r w:rsidRPr="00643EBA">
        <w:rPr>
          <w:rFonts w:asciiTheme="majorHAnsi" w:eastAsia="Times New Roman" w:hAnsiTheme="majorHAnsi" w:cstheme="majorHAnsi"/>
          <w:color w:val="000000"/>
          <w:sz w:val="28"/>
          <w:szCs w:val="28"/>
          <w:lang w:eastAsia="vi-VN"/>
        </w:rPr>
        <w:t> quy định tại </w:t>
      </w:r>
      <w:bookmarkStart w:id="28" w:name="dc_18"/>
      <w:r w:rsidRPr="00643EBA">
        <w:rPr>
          <w:rFonts w:asciiTheme="majorHAnsi" w:eastAsia="Times New Roman" w:hAnsiTheme="majorHAnsi" w:cstheme="majorHAnsi"/>
          <w:color w:val="000000"/>
          <w:sz w:val="28"/>
          <w:szCs w:val="28"/>
          <w:lang w:eastAsia="vi-VN"/>
        </w:rPr>
        <w:t>khoản 1 Điều 216</w:t>
      </w:r>
      <w:bookmarkEnd w:id="28"/>
      <w:r w:rsidRPr="00643EBA">
        <w:rPr>
          <w:rFonts w:asciiTheme="majorHAnsi" w:eastAsia="Times New Roman" w:hAnsiTheme="majorHAnsi" w:cstheme="majorHAnsi"/>
          <w:color w:val="000000"/>
          <w:sz w:val="28"/>
          <w:szCs w:val="28"/>
          <w:lang w:eastAsia="vi-VN"/>
        </w:rPr>
        <w:t> của Bộ luật Hình sự là việc người sử dụng lao động đã xác định rõ, đầy đủ các khoản đóng bảo hiểm, lập chứng từ, hồ sơ quyết toán lương cho người lao động, thu nhập doanh nghiệp nhưng chỉ đóng một phần tiền bảo hiểm xã hội, bảo hiểm y tế, bảo hiểm thất nghiệp cho cơ quan bảo hiểm xã hội theo quy định.</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14. </w:t>
      </w:r>
      <w:r w:rsidRPr="00643EBA">
        <w:rPr>
          <w:rFonts w:asciiTheme="majorHAnsi" w:eastAsia="Times New Roman" w:hAnsiTheme="majorHAnsi" w:cstheme="majorHAnsi"/>
          <w:i/>
          <w:iCs/>
          <w:color w:val="000000"/>
          <w:sz w:val="28"/>
          <w:szCs w:val="28"/>
          <w:lang w:eastAsia="vi-VN"/>
        </w:rPr>
        <w:t>06 tháng trở lên</w:t>
      </w:r>
      <w:r w:rsidRPr="00643EBA">
        <w:rPr>
          <w:rFonts w:asciiTheme="majorHAnsi" w:eastAsia="Times New Roman" w:hAnsiTheme="majorHAnsi" w:cstheme="majorHAnsi"/>
          <w:color w:val="000000"/>
          <w:sz w:val="28"/>
          <w:szCs w:val="28"/>
          <w:lang w:eastAsia="vi-VN"/>
        </w:rPr>
        <w:t> quy định tại </w:t>
      </w:r>
      <w:bookmarkStart w:id="29" w:name="dc_19"/>
      <w:r w:rsidRPr="00643EBA">
        <w:rPr>
          <w:rFonts w:asciiTheme="majorHAnsi" w:eastAsia="Times New Roman" w:hAnsiTheme="majorHAnsi" w:cstheme="majorHAnsi"/>
          <w:color w:val="000000"/>
          <w:sz w:val="28"/>
          <w:szCs w:val="28"/>
          <w:lang w:eastAsia="vi-VN"/>
        </w:rPr>
        <w:t>khoản 1 Điều 216</w:t>
      </w:r>
      <w:bookmarkEnd w:id="29"/>
      <w:r w:rsidRPr="00643EBA">
        <w:rPr>
          <w:rFonts w:asciiTheme="majorHAnsi" w:eastAsia="Times New Roman" w:hAnsiTheme="majorHAnsi" w:cstheme="majorHAnsi"/>
          <w:color w:val="000000"/>
          <w:sz w:val="28"/>
          <w:szCs w:val="28"/>
          <w:lang w:eastAsia="vi-VN"/>
        </w:rPr>
        <w:t> của Bộ luật Hình sự được xác định là 06 tháng liên tục hoặc 06 tháng cộng dồn trở lên.</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Ví dụ: Trong thời gian từ tháng 5 năm 2018 đến tháng 3 năm 2019, Doanh nghiệp A không đóng bảo hiểm xã hội 04 tháng trong năm 2018 (gồm các tháng 5, 7, 9 và 11) và 02 tháng trong năm 2019 (tháng 01 và tháng 02) là không đóng bảo hiểm xã hội 06 tháng cộng dồn trở lên.</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15. Thiệt hại do hành vi phạm tội gian lận bảo hiểm xã hội, bảo hiểm y tế, bảo hiểm thất nghiệp quy định tại </w:t>
      </w:r>
      <w:bookmarkStart w:id="30" w:name="dc_20"/>
      <w:r w:rsidRPr="00643EBA">
        <w:rPr>
          <w:rFonts w:asciiTheme="majorHAnsi" w:eastAsia="Times New Roman" w:hAnsiTheme="majorHAnsi" w:cstheme="majorHAnsi"/>
          <w:color w:val="000000"/>
          <w:sz w:val="28"/>
          <w:szCs w:val="28"/>
          <w:lang w:eastAsia="vi-VN"/>
        </w:rPr>
        <w:t>Điều 214 và Điều 215</w:t>
      </w:r>
      <w:bookmarkEnd w:id="30"/>
      <w:r w:rsidRPr="00643EBA">
        <w:rPr>
          <w:rFonts w:asciiTheme="majorHAnsi" w:eastAsia="Times New Roman" w:hAnsiTheme="majorHAnsi" w:cstheme="majorHAnsi"/>
          <w:color w:val="000000"/>
          <w:sz w:val="28"/>
          <w:szCs w:val="28"/>
          <w:lang w:eastAsia="vi-VN"/>
        </w:rPr>
        <w:t> của Bộ luật Hình sự gây ra không bao gồm số tiền bảo hiểm xã hội, bảo hiểm thất nghiệp, bảo hiểm y tế bị chiếm đoạt.</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3"/>
      <w:r w:rsidRPr="00643EBA">
        <w:rPr>
          <w:rFonts w:asciiTheme="majorHAnsi" w:eastAsia="Times New Roman" w:hAnsiTheme="majorHAnsi" w:cstheme="majorHAnsi"/>
          <w:b/>
          <w:bCs/>
          <w:color w:val="000000"/>
          <w:sz w:val="28"/>
          <w:szCs w:val="28"/>
          <w:lang w:eastAsia="vi-VN"/>
        </w:rPr>
        <w:t>Điều 3. Về một số tình tiết định khung hình phạt</w:t>
      </w:r>
      <w:bookmarkEnd w:id="31"/>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1. </w:t>
      </w:r>
      <w:r w:rsidRPr="00643EBA">
        <w:rPr>
          <w:rFonts w:asciiTheme="majorHAnsi" w:eastAsia="Times New Roman" w:hAnsiTheme="majorHAnsi" w:cstheme="majorHAnsi"/>
          <w:i/>
          <w:iCs/>
          <w:color w:val="000000"/>
          <w:sz w:val="28"/>
          <w:szCs w:val="28"/>
          <w:lang w:eastAsia="vi-VN"/>
        </w:rPr>
        <w:t>Có tính chất chuyên nghiệp</w:t>
      </w:r>
      <w:r w:rsidRPr="00643EBA">
        <w:rPr>
          <w:rFonts w:asciiTheme="majorHAnsi" w:eastAsia="Times New Roman" w:hAnsiTheme="majorHAnsi" w:cstheme="majorHAnsi"/>
          <w:color w:val="000000"/>
          <w:sz w:val="28"/>
          <w:szCs w:val="28"/>
          <w:lang w:eastAsia="vi-VN"/>
        </w:rPr>
        <w:t> quy định tại </w:t>
      </w:r>
      <w:bookmarkStart w:id="32" w:name="dc_21"/>
      <w:r w:rsidRPr="00643EBA">
        <w:rPr>
          <w:rFonts w:asciiTheme="majorHAnsi" w:eastAsia="Times New Roman" w:hAnsiTheme="majorHAnsi" w:cstheme="majorHAnsi"/>
          <w:color w:val="000000"/>
          <w:sz w:val="28"/>
          <w:szCs w:val="28"/>
          <w:lang w:eastAsia="vi-VN"/>
        </w:rPr>
        <w:t>điểm b khoản 2 các điều 214 và 215</w:t>
      </w:r>
      <w:bookmarkEnd w:id="32"/>
      <w:r w:rsidRPr="00643EBA">
        <w:rPr>
          <w:rFonts w:asciiTheme="majorHAnsi" w:eastAsia="Times New Roman" w:hAnsiTheme="majorHAnsi" w:cstheme="majorHAnsi"/>
          <w:color w:val="000000"/>
          <w:sz w:val="28"/>
          <w:szCs w:val="28"/>
          <w:lang w:eastAsia="vi-VN"/>
        </w:rPr>
        <w:t> của Bộ luật Hình sự là trường hợp người phạm tội thực hiện hành vi gian lận bảo hiểm xã hội, bảo hiểm thất nghiệp, bảo hiểm y tế từ 05 lần trở lên (không phân biệt đã bị truy cứu trách nhiệm hình sự hay chưa bị truy cứu trách nhiệm hình sự, nếu chưa hết thời hiệu truy cứu trách nhiệm hình sự hoặc chưa được xóa án tích) và người phạm tội lấy khoản lợi bất chính thu được từ việc phạm tội làm nguồn thu nhập.</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2. </w:t>
      </w:r>
      <w:r w:rsidRPr="00643EBA">
        <w:rPr>
          <w:rFonts w:asciiTheme="majorHAnsi" w:eastAsia="Times New Roman" w:hAnsiTheme="majorHAnsi" w:cstheme="majorHAnsi"/>
          <w:i/>
          <w:iCs/>
          <w:color w:val="000000"/>
          <w:sz w:val="28"/>
          <w:szCs w:val="28"/>
          <w:lang w:eastAsia="vi-VN"/>
        </w:rPr>
        <w:t>Dùng thủ đoạn tinh vi, xảo quyệt</w:t>
      </w:r>
      <w:r w:rsidRPr="00643EBA">
        <w:rPr>
          <w:rFonts w:asciiTheme="majorHAnsi" w:eastAsia="Times New Roman" w:hAnsiTheme="majorHAnsi" w:cstheme="majorHAnsi"/>
          <w:color w:val="000000"/>
          <w:sz w:val="28"/>
          <w:szCs w:val="28"/>
          <w:lang w:eastAsia="vi-VN"/>
        </w:rPr>
        <w:t> quy định tại </w:t>
      </w:r>
      <w:bookmarkStart w:id="33" w:name="dc_22"/>
      <w:r w:rsidRPr="00643EBA">
        <w:rPr>
          <w:rFonts w:asciiTheme="majorHAnsi" w:eastAsia="Times New Roman" w:hAnsiTheme="majorHAnsi" w:cstheme="majorHAnsi"/>
          <w:color w:val="000000"/>
          <w:sz w:val="28"/>
          <w:szCs w:val="28"/>
          <w:lang w:eastAsia="vi-VN"/>
        </w:rPr>
        <w:t>điểm đ khoản 2 các điều 214 và 215</w:t>
      </w:r>
      <w:bookmarkEnd w:id="33"/>
      <w:r w:rsidRPr="00643EBA">
        <w:rPr>
          <w:rFonts w:asciiTheme="majorHAnsi" w:eastAsia="Times New Roman" w:hAnsiTheme="majorHAnsi" w:cstheme="majorHAnsi"/>
          <w:color w:val="000000"/>
          <w:sz w:val="28"/>
          <w:szCs w:val="28"/>
          <w:lang w:eastAsia="vi-VN"/>
        </w:rPr>
        <w:t> của Bộ luật Hình sự là trường hợp người phạm tội sử dụng công nghệ cao, móc nối với người có chức vụ, quyền hạn trong cơ quan nhà nước hoặc thủ đoạn gian dối, mánh khóe khác để tiêu hủy chứng cứ, che giấu hành vi phạm tội, gây khó khăn cho việc phát hiện, điều tra, xử lý tội phạm.</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3. </w:t>
      </w:r>
      <w:r w:rsidRPr="00643EBA">
        <w:rPr>
          <w:rFonts w:asciiTheme="majorHAnsi" w:eastAsia="Times New Roman" w:hAnsiTheme="majorHAnsi" w:cstheme="majorHAnsi"/>
          <w:i/>
          <w:iCs/>
          <w:color w:val="000000"/>
          <w:sz w:val="28"/>
          <w:szCs w:val="28"/>
          <w:lang w:eastAsia="vi-VN"/>
        </w:rPr>
        <w:t>Phạm tội 02 lần trở lên</w:t>
      </w:r>
      <w:r w:rsidRPr="00643EBA">
        <w:rPr>
          <w:rFonts w:asciiTheme="majorHAnsi" w:eastAsia="Times New Roman" w:hAnsiTheme="majorHAnsi" w:cstheme="majorHAnsi"/>
          <w:color w:val="000000"/>
          <w:sz w:val="28"/>
          <w:szCs w:val="28"/>
          <w:lang w:eastAsia="vi-VN"/>
        </w:rPr>
        <w:t> quy định tại </w:t>
      </w:r>
      <w:bookmarkStart w:id="34" w:name="dc_23"/>
      <w:r w:rsidRPr="00643EBA">
        <w:rPr>
          <w:rFonts w:asciiTheme="majorHAnsi" w:eastAsia="Times New Roman" w:hAnsiTheme="majorHAnsi" w:cstheme="majorHAnsi"/>
          <w:color w:val="000000"/>
          <w:sz w:val="28"/>
          <w:szCs w:val="28"/>
          <w:lang w:eastAsia="vi-VN"/>
        </w:rPr>
        <w:t>điểm a khoản 2 Điều 216</w:t>
      </w:r>
      <w:bookmarkEnd w:id="34"/>
      <w:r w:rsidRPr="00643EBA">
        <w:rPr>
          <w:rFonts w:asciiTheme="majorHAnsi" w:eastAsia="Times New Roman" w:hAnsiTheme="majorHAnsi" w:cstheme="majorHAnsi"/>
          <w:color w:val="000000"/>
          <w:sz w:val="28"/>
          <w:szCs w:val="28"/>
          <w:lang w:eastAsia="vi-VN"/>
        </w:rPr>
        <w:t> của Bộ luật Hình sự; là trường hợp đã thực hiện hành vi phạm tội trốn đóng bảo hiểm xã hội, bảo hiểm y tế, bảo hiểm thất nghiệp cho người lao động từ 02 lần trở lên nhưng đều chưa bị truy cứu trách nhiệm hình sự và chưa hết thời hiệu truy cứu trách nhiệm hình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4. </w:t>
      </w:r>
      <w:r w:rsidRPr="00643EBA">
        <w:rPr>
          <w:rFonts w:asciiTheme="majorHAnsi" w:eastAsia="Times New Roman" w:hAnsiTheme="majorHAnsi" w:cstheme="majorHAnsi"/>
          <w:i/>
          <w:iCs/>
          <w:color w:val="000000"/>
          <w:sz w:val="28"/>
          <w:szCs w:val="28"/>
          <w:lang w:eastAsia="vi-VN"/>
        </w:rPr>
        <w:t>Không đóng số tiền bảo hiểm đã thu hoặc đã khấu trừ của người lao động</w:t>
      </w:r>
      <w:r w:rsidRPr="00643EBA">
        <w:rPr>
          <w:rFonts w:asciiTheme="majorHAnsi" w:eastAsia="Times New Roman" w:hAnsiTheme="majorHAnsi" w:cstheme="majorHAnsi"/>
          <w:color w:val="000000"/>
          <w:sz w:val="28"/>
          <w:szCs w:val="28"/>
          <w:lang w:eastAsia="vi-VN"/>
        </w:rPr>
        <w:t> quy định tại </w:t>
      </w:r>
      <w:bookmarkStart w:id="35" w:name="dc_24"/>
      <w:r w:rsidRPr="00643EBA">
        <w:rPr>
          <w:rFonts w:asciiTheme="majorHAnsi" w:eastAsia="Times New Roman" w:hAnsiTheme="majorHAnsi" w:cstheme="majorHAnsi"/>
          <w:color w:val="000000"/>
          <w:sz w:val="28"/>
          <w:szCs w:val="28"/>
          <w:lang w:eastAsia="vi-VN"/>
        </w:rPr>
        <w:t>điểm d khoản 2 và điểm c khoản 3 Điều 216</w:t>
      </w:r>
      <w:bookmarkEnd w:id="35"/>
      <w:r w:rsidRPr="00643EBA">
        <w:rPr>
          <w:rFonts w:asciiTheme="majorHAnsi" w:eastAsia="Times New Roman" w:hAnsiTheme="majorHAnsi" w:cstheme="majorHAnsi"/>
          <w:color w:val="000000"/>
          <w:sz w:val="28"/>
          <w:szCs w:val="28"/>
          <w:lang w:eastAsia="vi-VN"/>
        </w:rPr>
        <w:t> của Bộ luật Hình sự là trường hợp người sử dụng lao động đã thu hoặc đã khấu trừ tiền đóng bảo hiểm từ tiền lương tháng đóng bảo hiểm của người lao động nhưng không đóng cho cơ quan bảo hiểm.</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4"/>
      <w:r w:rsidRPr="00643EBA">
        <w:rPr>
          <w:rFonts w:asciiTheme="majorHAnsi" w:eastAsia="Times New Roman" w:hAnsiTheme="majorHAnsi" w:cstheme="majorHAnsi"/>
          <w:b/>
          <w:bCs/>
          <w:color w:val="000000"/>
          <w:sz w:val="28"/>
          <w:szCs w:val="28"/>
          <w:lang w:eastAsia="vi-VN"/>
        </w:rPr>
        <w:t>Điều 4. Truy cứu trách nhiệm hình sự trong một số trường hợp cụ thể</w:t>
      </w:r>
      <w:bookmarkEnd w:id="36"/>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lastRenderedPageBreak/>
        <w:t>1. Trường hợp một người thực hiện nhiều lần cùng một loại hành vi quy định tại các </w:t>
      </w:r>
      <w:bookmarkStart w:id="37" w:name="dc_25"/>
      <w:r w:rsidRPr="00643EBA">
        <w:rPr>
          <w:rFonts w:asciiTheme="majorHAnsi" w:eastAsia="Times New Roman" w:hAnsiTheme="majorHAnsi" w:cstheme="majorHAnsi"/>
          <w:color w:val="000000"/>
          <w:sz w:val="28"/>
          <w:szCs w:val="28"/>
          <w:lang w:eastAsia="vi-VN"/>
        </w:rPr>
        <w:t>điều 214 và 215</w:t>
      </w:r>
      <w:bookmarkEnd w:id="37"/>
      <w:r w:rsidRPr="00643EBA">
        <w:rPr>
          <w:rFonts w:asciiTheme="majorHAnsi" w:eastAsia="Times New Roman" w:hAnsiTheme="majorHAnsi" w:cstheme="majorHAnsi"/>
          <w:color w:val="000000"/>
          <w:sz w:val="28"/>
          <w:szCs w:val="28"/>
          <w:lang w:eastAsia="vi-VN"/>
        </w:rPr>
        <w:t> của Bộ luật Hình sự chiếm đoạt tiền bảo hiểm xã hội, bảo hiểm y tế, bảo hiểm thất nghiệp và trong các hành vi đó chưa có lần nào bị xử phạt vi phạm hành chính và chưa hết thời hiệu xử phạt vi phạm hành chính hoặc chưa hết thời hiệu truy cứu trách nhiệm hình sự, nếu tổng số tiền bảo hiểm của các lần bị chiếm đoạt bằng hoặc trên mức tối thiểu để truy cứu trách nhiệm hình sự theo quy định của Bộ luật Hình sự, thì người thực hiện nhiều lần cùng loại hành vi phải bị truy cứu trách nhiệm hình sự về tội phạm tương ứng theo tổng số tiền của các lần bị chiếm đoạt, nếu các hành vi được thực hiện liên tục, kế tiếp nhau về mặt thời gian.</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2. Trường hợp một người thực hiện nhiều lần cùng một loại hành vi quy định tại các </w:t>
      </w:r>
      <w:bookmarkStart w:id="38" w:name="dc_26"/>
      <w:r w:rsidRPr="00643EBA">
        <w:rPr>
          <w:rFonts w:asciiTheme="majorHAnsi" w:eastAsia="Times New Roman" w:hAnsiTheme="majorHAnsi" w:cstheme="majorHAnsi"/>
          <w:color w:val="000000"/>
          <w:sz w:val="28"/>
          <w:szCs w:val="28"/>
          <w:lang w:eastAsia="vi-VN"/>
        </w:rPr>
        <w:t>điều 214 và 215</w:t>
      </w:r>
      <w:bookmarkEnd w:id="38"/>
      <w:r w:rsidRPr="00643EBA">
        <w:rPr>
          <w:rFonts w:asciiTheme="majorHAnsi" w:eastAsia="Times New Roman" w:hAnsiTheme="majorHAnsi" w:cstheme="majorHAnsi"/>
          <w:color w:val="000000"/>
          <w:sz w:val="28"/>
          <w:szCs w:val="28"/>
          <w:lang w:eastAsia="vi-VN"/>
        </w:rPr>
        <w:t> của Bộ luật Hình sự gây thiệt hại cho quỹ bảo hiểm xã hội, bảo hiểm y tế, bảo hiểm thất nghiệp và trong các hành vi đó chưa có lần nào bị xử phạt vi phạm hành chính và chưa hết thời hiệu xử phạt vi phạm hành chính hoặc chưa hết thời hiệu truy cứu trách nhiệm hình sự, nếu tổng số tiền của các lần bị thiệt hại bằng hoặc trên mức tối thiểu để truy cứu trách nhiệm hình sự theo quy định của Bộ luật Hình sự, thì người thực hiện nhiều lần cùng loại hành vi phải bị truy cứu trách nhiệm hình sự về tội phạm tương ứng theo tổng số tiền của các lần gây thiệt hại, nếu các hành vi được thực hiện liên tục, kế tiếp nhau về mặt thời gian.</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3. Trường hợp người thực hiện hành vi phạm tội vừa chiếm đoạt tiền bảo hiểm xã hội, bảo hiểm y tế, bảo hiểm thất nghiệp vừa gây thiệt hại mà số tiền bị chiếm đoạt, số tiền bị thiệt hại đều trên mức tối thiểu để truy cứu trách nhiệm hình sự theo quy định tại các </w:t>
      </w:r>
      <w:bookmarkStart w:id="39" w:name="dc_27"/>
      <w:r w:rsidRPr="00643EBA">
        <w:rPr>
          <w:rFonts w:asciiTheme="majorHAnsi" w:eastAsia="Times New Roman" w:hAnsiTheme="majorHAnsi" w:cstheme="majorHAnsi"/>
          <w:color w:val="000000"/>
          <w:sz w:val="28"/>
          <w:szCs w:val="28"/>
          <w:lang w:eastAsia="vi-VN"/>
        </w:rPr>
        <w:t>điều 214 và 215</w:t>
      </w:r>
      <w:bookmarkEnd w:id="39"/>
      <w:r w:rsidRPr="00643EBA">
        <w:rPr>
          <w:rFonts w:asciiTheme="majorHAnsi" w:eastAsia="Times New Roman" w:hAnsiTheme="majorHAnsi" w:cstheme="majorHAnsi"/>
          <w:color w:val="000000"/>
          <w:sz w:val="28"/>
          <w:szCs w:val="28"/>
          <w:lang w:eastAsia="vi-VN"/>
        </w:rPr>
        <w:t> của Bộ luật Hình sự thì xử lý như sau:</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a) Nếu số tiền bảo hiểm bị chiếm đoạt, số tiền bị thiệt hại đều thuộc khung hình phạt cơ bản thì người phạm tội bị truy cứu trách nhiệm hình sự theo khung hình phạt cơ bản.</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Ví dụ: Nguyễn Văn A thực hiện hành vi lập hồ sơ giả bảo hiểm xã hội chiếm đoạt 20.000.000 đồng và gây thiệt hại 150.000.000 đồng thì Nguyễn Văn A bị truy cứu trách nhiệm hình sự về tội gian lận bảo hiểm xã hội, bảo hiểm thất nghiệp quy định tại </w:t>
      </w:r>
      <w:bookmarkStart w:id="40" w:name="dc_28"/>
      <w:r w:rsidRPr="00643EBA">
        <w:rPr>
          <w:rFonts w:asciiTheme="majorHAnsi" w:eastAsia="Times New Roman" w:hAnsiTheme="majorHAnsi" w:cstheme="majorHAnsi"/>
          <w:color w:val="000000"/>
          <w:sz w:val="28"/>
          <w:szCs w:val="28"/>
          <w:lang w:eastAsia="vi-VN"/>
        </w:rPr>
        <w:t>khoản 1 Điều 214</w:t>
      </w:r>
      <w:bookmarkEnd w:id="40"/>
      <w:r w:rsidRPr="00643EBA">
        <w:rPr>
          <w:rFonts w:asciiTheme="majorHAnsi" w:eastAsia="Times New Roman" w:hAnsiTheme="majorHAnsi" w:cstheme="majorHAnsi"/>
          <w:color w:val="000000"/>
          <w:sz w:val="28"/>
          <w:szCs w:val="28"/>
          <w:lang w:eastAsia="vi-VN"/>
        </w:rPr>
        <w:t> của Bộ luật Hình sự.</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b) Nếu số tiền bảo hiểm bị chiếm đoạt, số tiền bị thiệt hại thuộc các khung hình phạt khác nhau thì người phạm tội bị truy cứu trách nhiệm hình sự theo khung hình phạt cao hơn.</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Ví dụ: Nguyễn Văn A thực hiện hành vi lập hồ sơ giả bảo hiểm xã hội chiếm đoạt 20.000.000 đồng và gây thiệt hại 250.000.000 đồng thì Nguyễn Văn A bị truy cứu trách nhiệm hình sự về tội gian lận bảo hiểm xã hội, bảo hiểm thất nghiệp quy định tại </w:t>
      </w:r>
      <w:bookmarkStart w:id="41" w:name="dc_29"/>
      <w:r w:rsidRPr="00643EBA">
        <w:rPr>
          <w:rFonts w:asciiTheme="majorHAnsi" w:eastAsia="Times New Roman" w:hAnsiTheme="majorHAnsi" w:cstheme="majorHAnsi"/>
          <w:color w:val="000000"/>
          <w:sz w:val="28"/>
          <w:szCs w:val="28"/>
          <w:lang w:eastAsia="vi-VN"/>
        </w:rPr>
        <w:t>điểm d khoản 2 Điều 214</w:t>
      </w:r>
      <w:bookmarkEnd w:id="41"/>
      <w:r w:rsidRPr="00643EBA">
        <w:rPr>
          <w:rFonts w:asciiTheme="majorHAnsi" w:eastAsia="Times New Roman" w:hAnsiTheme="majorHAnsi" w:cstheme="majorHAnsi"/>
          <w:color w:val="000000"/>
          <w:sz w:val="28"/>
          <w:szCs w:val="28"/>
          <w:lang w:eastAsia="vi-VN"/>
        </w:rPr>
        <w:t> của Bộ luật Hình sự.</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c) Nếu số tiền bảo hiểm bị chiếm đoạt, số tiền bị thiệt hại cùng một khung hình phạt tăng nặng thì người phạm tội bị truy cứu trách nhiệm hình sự theo cả hai tình tiết định khung tăng nặng trách nhiệm hình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 xml:space="preserve">Ví dụ: Nguyễn Văn B thực hiện hành vi lập hồ sơ giả bảo hiểm xã hội chiếm đoạt 150.000.000 đồng và gây thiệt hại 250.000.000 đồng thì Nguyễn Văn B bị </w:t>
      </w:r>
      <w:r w:rsidRPr="00643EBA">
        <w:rPr>
          <w:rFonts w:asciiTheme="majorHAnsi" w:eastAsia="Times New Roman" w:hAnsiTheme="majorHAnsi" w:cstheme="majorHAnsi"/>
          <w:color w:val="000000"/>
          <w:sz w:val="28"/>
          <w:szCs w:val="28"/>
          <w:lang w:eastAsia="vi-VN"/>
        </w:rPr>
        <w:lastRenderedPageBreak/>
        <w:t>truy cứu trách nhiệm hình sự về tội gian lận bảo hiểm xã hội, bảo hiểm thất nghiệp với tình tiết định khung tăng nặng quy định tại </w:t>
      </w:r>
      <w:bookmarkStart w:id="42" w:name="dc_30"/>
      <w:r w:rsidRPr="00643EBA">
        <w:rPr>
          <w:rFonts w:asciiTheme="majorHAnsi" w:eastAsia="Times New Roman" w:hAnsiTheme="majorHAnsi" w:cstheme="majorHAnsi"/>
          <w:color w:val="000000"/>
          <w:sz w:val="28"/>
          <w:szCs w:val="28"/>
          <w:lang w:eastAsia="vi-VN"/>
        </w:rPr>
        <w:t>điểm c, d khoản 2 Điều 214</w:t>
      </w:r>
      <w:bookmarkEnd w:id="42"/>
      <w:r w:rsidRPr="00643EBA">
        <w:rPr>
          <w:rFonts w:asciiTheme="majorHAnsi" w:eastAsia="Times New Roman" w:hAnsiTheme="majorHAnsi" w:cstheme="majorHAnsi"/>
          <w:color w:val="000000"/>
          <w:sz w:val="28"/>
          <w:szCs w:val="28"/>
          <w:lang w:eastAsia="vi-VN"/>
        </w:rPr>
        <w:t> của Bộ luật Hình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4. Người thực hiện hành vi làm giả hồ sơ bảo hiểm xã hội, bảo hiểm thất nghiệp, bảo hiểm y tế, thẻ bảo hiểm y tế để chiếm đoạt tiền bảo hiểm xã hội, bảo hiểm thất nghiệp, bảo hiểm y tế hoặc gây thiệt hại, ngoài việc bị truy cứu trách nhiệm hình sự về tội phạm tương ứng quy định tại các </w:t>
      </w:r>
      <w:bookmarkStart w:id="43" w:name="dc_31"/>
      <w:r w:rsidRPr="00643EBA">
        <w:rPr>
          <w:rFonts w:asciiTheme="majorHAnsi" w:eastAsia="Times New Roman" w:hAnsiTheme="majorHAnsi" w:cstheme="majorHAnsi"/>
          <w:color w:val="000000"/>
          <w:sz w:val="28"/>
          <w:szCs w:val="28"/>
          <w:lang w:eastAsia="vi-VN"/>
        </w:rPr>
        <w:t>điều 214 hoặc 215</w:t>
      </w:r>
      <w:bookmarkEnd w:id="43"/>
      <w:r w:rsidRPr="00643EBA">
        <w:rPr>
          <w:rFonts w:asciiTheme="majorHAnsi" w:eastAsia="Times New Roman" w:hAnsiTheme="majorHAnsi" w:cstheme="majorHAnsi"/>
          <w:color w:val="000000"/>
          <w:sz w:val="28"/>
          <w:szCs w:val="28"/>
          <w:lang w:eastAsia="vi-VN"/>
        </w:rPr>
        <w:t> của Bộ luật Hình sự, người phạm tội còn bị truy cứu trách nhiệm hình sự về tội làm giả con dấu, tài liệu của cơ quan, tổ chức; tội sử dụng con dấu hoặc tài liệu giả của cơ quan, tổ chức quy định tại </w:t>
      </w:r>
      <w:bookmarkStart w:id="44" w:name="dc_32"/>
      <w:r w:rsidRPr="00643EBA">
        <w:rPr>
          <w:rFonts w:asciiTheme="majorHAnsi" w:eastAsia="Times New Roman" w:hAnsiTheme="majorHAnsi" w:cstheme="majorHAnsi"/>
          <w:color w:val="000000"/>
          <w:sz w:val="28"/>
          <w:szCs w:val="28"/>
          <w:lang w:eastAsia="vi-VN"/>
        </w:rPr>
        <w:t>Điều 341</w:t>
      </w:r>
      <w:bookmarkEnd w:id="44"/>
      <w:r w:rsidRPr="00643EBA">
        <w:rPr>
          <w:rFonts w:asciiTheme="majorHAnsi" w:eastAsia="Times New Roman" w:hAnsiTheme="majorHAnsi" w:cstheme="majorHAnsi"/>
          <w:color w:val="000000"/>
          <w:sz w:val="28"/>
          <w:szCs w:val="28"/>
          <w:lang w:eastAsia="vi-VN"/>
        </w:rPr>
        <w:t> của Bộ luật Hình sự nếu có đủ yếu tố cấu thành tội phạm.</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5"/>
      <w:r w:rsidRPr="00643EBA">
        <w:rPr>
          <w:rFonts w:asciiTheme="majorHAnsi" w:eastAsia="Times New Roman" w:hAnsiTheme="majorHAnsi" w:cstheme="majorHAnsi"/>
          <w:b/>
          <w:bCs/>
          <w:color w:val="000000"/>
          <w:sz w:val="28"/>
          <w:szCs w:val="28"/>
          <w:lang w:eastAsia="vi-VN"/>
        </w:rPr>
        <w:t>Điều 5. Xử lý hành vi trốn đóng bảo hiểm xã hội, bảo hiểm y tế, bảo hiểm thất nghiệp cho người lao động thực hiện trước 0 giờ 00 phút ngày 01 tháng 01 năm 2018</w:t>
      </w:r>
      <w:bookmarkEnd w:id="45"/>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1. Đối với hành vi trốn đóng bảo hiểm xã hội, bảo hiểm y tế, bảo hiểm thất nghiệp thực hiện trước 0 giờ 00 phút ngày 01 tháng 01 năm 2018 thì không xử lý về hình sự theo quy định tại </w:t>
      </w:r>
      <w:bookmarkStart w:id="46" w:name="dc_36"/>
      <w:r w:rsidRPr="00643EBA">
        <w:rPr>
          <w:rFonts w:asciiTheme="majorHAnsi" w:eastAsia="Times New Roman" w:hAnsiTheme="majorHAnsi" w:cstheme="majorHAnsi"/>
          <w:color w:val="000000"/>
          <w:sz w:val="28"/>
          <w:szCs w:val="28"/>
          <w:lang w:eastAsia="vi-VN"/>
        </w:rPr>
        <w:t>Điều 216</w:t>
      </w:r>
      <w:bookmarkEnd w:id="46"/>
      <w:r w:rsidRPr="00643EBA">
        <w:rPr>
          <w:rFonts w:asciiTheme="majorHAnsi" w:eastAsia="Times New Roman" w:hAnsiTheme="majorHAnsi" w:cstheme="majorHAnsi"/>
          <w:color w:val="000000"/>
          <w:sz w:val="28"/>
          <w:szCs w:val="28"/>
          <w:lang w:eastAsia="vi-VN"/>
        </w:rPr>
        <w:t> của Bộ luật Hình sự mà tùy từng trường hợp xử lý như sau:</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a) Trường hợp chưa xử phạt vi phạm hành chính và chưa hết thời hiệu xử phạt vi phạm hành chính thì cơ quan có thẩm quyền xem xét xử phạt vi phạm hành chính.</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b) Trường hợp đã xử phạt vi phạm hành chính mà cá nhân, tổ chức bị xử phạt cố tình trốn tránh, trì hoãn việc thi hành thì thời hiệu thi hành quyết định xử phạt vi phạm hành chính được xác định theo quy định tại </w:t>
      </w:r>
      <w:bookmarkStart w:id="47" w:name="dc_37"/>
      <w:r w:rsidRPr="00643EBA">
        <w:rPr>
          <w:rFonts w:asciiTheme="majorHAnsi" w:eastAsia="Times New Roman" w:hAnsiTheme="majorHAnsi" w:cstheme="majorHAnsi"/>
          <w:color w:val="000000"/>
          <w:sz w:val="28"/>
          <w:szCs w:val="28"/>
          <w:lang w:eastAsia="vi-VN"/>
        </w:rPr>
        <w:t>khoản 2 Điều 74 của Luật Xử lý vi phạm hành chính</w:t>
      </w:r>
      <w:bookmarkEnd w:id="47"/>
      <w:r w:rsidRPr="00643EBA">
        <w:rPr>
          <w:rFonts w:asciiTheme="majorHAnsi" w:eastAsia="Times New Roman" w:hAnsiTheme="majorHAnsi" w:cstheme="majorHAnsi"/>
          <w:color w:val="000000"/>
          <w:sz w:val="28"/>
          <w:szCs w:val="28"/>
          <w:lang w:eastAsia="vi-VN"/>
        </w:rPr>
        <w:t>. Việc thi hành, cưỡng chế thi hành quyết định xử phạt vi phạm hành chính này thực hiện theo pháp luật về thi hành, cưỡng chế thi hành quyết định xử phạt vi phạm hành chính.</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c) Trường hợp gây thiệt hại cho người lao động, cơ quan bảo hiểm xã hội hoặc tổ chức, cá nhân khác thì người bị thiệt hại có thể khởi kiện yêu cầu bồi thường thiệt hại ngoài hợp đồng đối với người vi phạm theo quy định của pháp luật tố tụng dân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2. Không coi việc đã bị xử phạt vi phạm hành chính về hành vi trốn đóng bảo hiểm xã hội, bảo hiểm y tế, bảo hiểm thất nghiệp cho người lao động trước 0 giờ 00 phút ngày 01 tháng 01 năm 2018 là căn cứ để truy cứu trách nhiệm hình sự theo quy định tại </w:t>
      </w:r>
      <w:bookmarkStart w:id="48" w:name="dc_38"/>
      <w:r w:rsidRPr="00643EBA">
        <w:rPr>
          <w:rFonts w:asciiTheme="majorHAnsi" w:eastAsia="Times New Roman" w:hAnsiTheme="majorHAnsi" w:cstheme="majorHAnsi"/>
          <w:color w:val="000000"/>
          <w:sz w:val="28"/>
          <w:szCs w:val="28"/>
          <w:lang w:eastAsia="vi-VN"/>
        </w:rPr>
        <w:t>Điều 216</w:t>
      </w:r>
      <w:bookmarkEnd w:id="48"/>
      <w:r w:rsidRPr="00643EBA">
        <w:rPr>
          <w:rFonts w:asciiTheme="majorHAnsi" w:eastAsia="Times New Roman" w:hAnsiTheme="majorHAnsi" w:cstheme="majorHAnsi"/>
          <w:color w:val="000000"/>
          <w:sz w:val="28"/>
          <w:szCs w:val="28"/>
          <w:lang w:eastAsia="vi-VN"/>
        </w:rPr>
        <w:t> của Bộ luật Hình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6"/>
      <w:r w:rsidRPr="00643EBA">
        <w:rPr>
          <w:rFonts w:asciiTheme="majorHAnsi" w:eastAsia="Times New Roman" w:hAnsiTheme="majorHAnsi" w:cstheme="majorHAnsi"/>
          <w:b/>
          <w:bCs/>
          <w:color w:val="000000"/>
          <w:sz w:val="28"/>
          <w:szCs w:val="28"/>
          <w:lang w:eastAsia="vi-VN"/>
        </w:rPr>
        <w:t>Điều 6. Xác định tư cách tố tụng của cơ quan bảo hiểm xã hội</w:t>
      </w:r>
      <w:bookmarkEnd w:id="49"/>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Trong các vụ án hình sự mà bị can, bị cáo bị truy cứu trách nhiệm hình sự về tội gian lận bảo hiểm xã hội, bảo hiểm thất nghiệp theo </w:t>
      </w:r>
      <w:bookmarkStart w:id="50" w:name="dc_39"/>
      <w:r w:rsidRPr="00643EBA">
        <w:rPr>
          <w:rFonts w:asciiTheme="majorHAnsi" w:eastAsia="Times New Roman" w:hAnsiTheme="majorHAnsi" w:cstheme="majorHAnsi"/>
          <w:color w:val="000000"/>
          <w:sz w:val="28"/>
          <w:szCs w:val="28"/>
          <w:lang w:eastAsia="vi-VN"/>
        </w:rPr>
        <w:t>Điều 214</w:t>
      </w:r>
      <w:bookmarkEnd w:id="50"/>
      <w:r w:rsidRPr="00643EBA">
        <w:rPr>
          <w:rFonts w:asciiTheme="majorHAnsi" w:eastAsia="Times New Roman" w:hAnsiTheme="majorHAnsi" w:cstheme="majorHAnsi"/>
          <w:color w:val="000000"/>
          <w:sz w:val="28"/>
          <w:szCs w:val="28"/>
          <w:lang w:eastAsia="vi-VN"/>
        </w:rPr>
        <w:t> của Bộ luật Hình sự; tội gian lận bảo hiểm y tế theo </w:t>
      </w:r>
      <w:bookmarkStart w:id="51" w:name="dc_40"/>
      <w:r w:rsidRPr="00643EBA">
        <w:rPr>
          <w:rFonts w:asciiTheme="majorHAnsi" w:eastAsia="Times New Roman" w:hAnsiTheme="majorHAnsi" w:cstheme="majorHAnsi"/>
          <w:color w:val="000000"/>
          <w:sz w:val="28"/>
          <w:szCs w:val="28"/>
          <w:lang w:eastAsia="vi-VN"/>
        </w:rPr>
        <w:t>Điều 215</w:t>
      </w:r>
      <w:bookmarkEnd w:id="51"/>
      <w:r w:rsidRPr="00643EBA">
        <w:rPr>
          <w:rFonts w:asciiTheme="majorHAnsi" w:eastAsia="Times New Roman" w:hAnsiTheme="majorHAnsi" w:cstheme="majorHAnsi"/>
          <w:color w:val="000000"/>
          <w:sz w:val="28"/>
          <w:szCs w:val="28"/>
          <w:lang w:eastAsia="vi-VN"/>
        </w:rPr>
        <w:t> của Bộ luật Hình sự; tội trốn đóng bảo hiểm xã hội, bảo hiểm y tế, bảo hiểm thất nghiệp cho người lao động theo </w:t>
      </w:r>
      <w:bookmarkStart w:id="52" w:name="dc_41"/>
      <w:r w:rsidRPr="00643EBA">
        <w:rPr>
          <w:rFonts w:asciiTheme="majorHAnsi" w:eastAsia="Times New Roman" w:hAnsiTheme="majorHAnsi" w:cstheme="majorHAnsi"/>
          <w:color w:val="000000"/>
          <w:sz w:val="28"/>
          <w:szCs w:val="28"/>
          <w:lang w:eastAsia="vi-VN"/>
        </w:rPr>
        <w:t>Điều 216</w:t>
      </w:r>
      <w:bookmarkEnd w:id="52"/>
      <w:r w:rsidRPr="00643EBA">
        <w:rPr>
          <w:rFonts w:asciiTheme="majorHAnsi" w:eastAsia="Times New Roman" w:hAnsiTheme="majorHAnsi" w:cstheme="majorHAnsi"/>
          <w:color w:val="000000"/>
          <w:sz w:val="28"/>
          <w:szCs w:val="28"/>
          <w:lang w:eastAsia="vi-VN"/>
        </w:rPr>
        <w:t> của Bộ luật Hình sự, cơ quan bảo hiểm xã hội tham gia tố tụng với tư cách là bị hại.</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7"/>
      <w:r w:rsidRPr="00643EBA">
        <w:rPr>
          <w:rFonts w:asciiTheme="majorHAnsi" w:eastAsia="Times New Roman" w:hAnsiTheme="majorHAnsi" w:cstheme="majorHAnsi"/>
          <w:b/>
          <w:bCs/>
          <w:color w:val="000000"/>
          <w:sz w:val="28"/>
          <w:szCs w:val="28"/>
          <w:lang w:eastAsia="vi-VN"/>
        </w:rPr>
        <w:t>Điều 7. Tổ chức thực hiện</w:t>
      </w:r>
      <w:bookmarkEnd w:id="53"/>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lastRenderedPageBreak/>
        <w:t>1. Khi phát hiện hành vi có dấu hiệu tội phạm quy định tại các </w:t>
      </w:r>
      <w:bookmarkStart w:id="54" w:name="dc_42"/>
      <w:r w:rsidRPr="00643EBA">
        <w:rPr>
          <w:rFonts w:asciiTheme="majorHAnsi" w:eastAsia="Times New Roman" w:hAnsiTheme="majorHAnsi" w:cstheme="majorHAnsi"/>
          <w:color w:val="000000"/>
          <w:sz w:val="28"/>
          <w:szCs w:val="28"/>
          <w:lang w:eastAsia="vi-VN"/>
        </w:rPr>
        <w:t>điều 214, 215 và 216</w:t>
      </w:r>
      <w:bookmarkEnd w:id="54"/>
      <w:r w:rsidRPr="00643EBA">
        <w:rPr>
          <w:rFonts w:asciiTheme="majorHAnsi" w:eastAsia="Times New Roman" w:hAnsiTheme="majorHAnsi" w:cstheme="majorHAnsi"/>
          <w:color w:val="000000"/>
          <w:sz w:val="28"/>
          <w:szCs w:val="28"/>
          <w:lang w:eastAsia="vi-VN"/>
        </w:rPr>
        <w:t> của Bộ luật Hình sự, trong phạm vi nhiệm vụ, quyền hạn của mình, cơ quan bảo hiểm xã hội gửi văn bản kiến nghị khởi tố kèm theo chứng cứ, tài liệu có liên quan đến cơ quan có thẩm quyền tiến hành tố tụng để xem xét, khởi tố theo quy định của Bộ luật Tố tụng hình sự.</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Đối với tổ chức công đoàn, tổ chức đại diện cho người lao động và cơ quan, tổ chức, cá nhân khác phát hiện hành vi có dấu hiệu tội phạm quy định tại các </w:t>
      </w:r>
      <w:bookmarkStart w:id="55" w:name="dc_43"/>
      <w:r w:rsidRPr="00643EBA">
        <w:rPr>
          <w:rFonts w:asciiTheme="majorHAnsi" w:eastAsia="Times New Roman" w:hAnsiTheme="majorHAnsi" w:cstheme="majorHAnsi"/>
          <w:color w:val="000000"/>
          <w:sz w:val="28"/>
          <w:szCs w:val="28"/>
          <w:lang w:eastAsia="vi-VN"/>
        </w:rPr>
        <w:t>điều 214, 215 và 216</w:t>
      </w:r>
      <w:bookmarkEnd w:id="55"/>
      <w:r w:rsidRPr="00643EBA">
        <w:rPr>
          <w:rFonts w:asciiTheme="majorHAnsi" w:eastAsia="Times New Roman" w:hAnsiTheme="majorHAnsi" w:cstheme="majorHAnsi"/>
          <w:color w:val="000000"/>
          <w:sz w:val="28"/>
          <w:szCs w:val="28"/>
          <w:lang w:eastAsia="vi-VN"/>
        </w:rPr>
        <w:t> của Bộ luật Hình sự thì thông báo ngay đến cơ quan có thẩm quyền tiến hành tố tụng để xem xét, khởi tố theo quy định của Bộ luật Tố tụng hình sự.</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2. Khi nhận được tin báo về tội phạm hoặc văn bản kiến nghị khởi tố và chứng cứ, tài liệu có liên quan, cơ quan có thẩm quyền tiến hành tố tụng phải xem xét, thụ lý, giải quyết theo quy định của pháp luật.</w:t>
      </w:r>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3. Việc gửi văn bản kiến nghị khởi tố và chuyển chứng cứ, tài liệu có liên quan đến cơ quan tiến hành tố tụng có thẩm quyền thực hiện theo quy định của Bộ luật Tố tụng hình sự và Thông tư liên tịch số 01/2017/TTLT-BCA-BQP-BTC-BNN&amp;PTNT-VKSNDTC ngày 29 tháng 12 năm 2017 của Bộ Công an, Bộ Quốc phòng, Bộ Tài chính, Bộ Nông nghiệp và Phát triển nông thôn, Viện Kiểm sát nhân dân tối cao quy định việc phối hợp giữa các cơ quan có thẩm quyền trong việc thực hiện một số quy định của Bộ luật Tố tụng hình sự năm 2015 về tiếp nhận, giải quyết tố giác, tin báo về tội phạm, kiến nghị khởi tố.</w:t>
      </w:r>
    </w:p>
    <w:p w:rsidR="00643EBA" w:rsidRPr="00643EBA" w:rsidRDefault="00643EBA" w:rsidP="00643EB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dieu_8"/>
      <w:r w:rsidRPr="00643EBA">
        <w:rPr>
          <w:rFonts w:asciiTheme="majorHAnsi" w:eastAsia="Times New Roman" w:hAnsiTheme="majorHAnsi" w:cstheme="majorHAnsi"/>
          <w:b/>
          <w:bCs/>
          <w:color w:val="000000"/>
          <w:sz w:val="28"/>
          <w:szCs w:val="28"/>
          <w:lang w:eastAsia="vi-VN"/>
        </w:rPr>
        <w:t>Điều 8. Hiệu lực thi hành</w:t>
      </w:r>
      <w:bookmarkEnd w:id="56"/>
    </w:p>
    <w:p w:rsidR="00643EBA" w:rsidRPr="00643EBA" w:rsidRDefault="00643EBA" w:rsidP="00643EB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643EBA">
        <w:rPr>
          <w:rFonts w:asciiTheme="majorHAnsi" w:eastAsia="Times New Roman" w:hAnsiTheme="majorHAnsi" w:cstheme="majorHAnsi"/>
          <w:color w:val="000000"/>
          <w:sz w:val="28"/>
          <w:szCs w:val="28"/>
          <w:lang w:eastAsia="vi-VN"/>
        </w:rPr>
        <w:t>Nghị quyết này đã được Hội đồng Thẩm phán Tòa án nhân dân tối cao thông qua ngày 25 tháng 6 năm 2019 và có hiệu lực thi hành kể từ ngày 01 tháng 9 năm 2019.</w:t>
      </w:r>
    </w:p>
    <w:p w:rsidR="00643EBA" w:rsidRPr="00643EBA" w:rsidRDefault="00643EBA" w:rsidP="00643EBA">
      <w:pPr>
        <w:shd w:val="clear" w:color="auto" w:fill="FFFFFF"/>
        <w:spacing w:before="120" w:after="120" w:line="234" w:lineRule="atLeast"/>
        <w:rPr>
          <w:rFonts w:ascii="Arial" w:eastAsia="Times New Roman" w:hAnsi="Arial" w:cs="Arial"/>
          <w:color w:val="000000"/>
          <w:sz w:val="18"/>
          <w:szCs w:val="18"/>
          <w:lang w:eastAsia="vi-VN"/>
        </w:rPr>
      </w:pPr>
      <w:r w:rsidRPr="00643EB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643EBA" w:rsidRPr="00643EBA" w:rsidTr="00643EBA">
        <w:trPr>
          <w:tblCellSpacing w:w="0" w:type="dxa"/>
        </w:trPr>
        <w:tc>
          <w:tcPr>
            <w:tcW w:w="4708" w:type="dxa"/>
            <w:shd w:val="clear" w:color="auto" w:fill="FFFFFF"/>
            <w:tcMar>
              <w:top w:w="0" w:type="dxa"/>
              <w:left w:w="108" w:type="dxa"/>
              <w:bottom w:w="0" w:type="dxa"/>
              <w:right w:w="108" w:type="dxa"/>
            </w:tcMar>
            <w:hideMark/>
          </w:tcPr>
          <w:p w:rsidR="00643EBA" w:rsidRPr="00643EBA" w:rsidRDefault="00643EBA" w:rsidP="00643EBA">
            <w:pPr>
              <w:spacing w:before="120" w:after="120" w:line="234" w:lineRule="atLeast"/>
              <w:rPr>
                <w:rFonts w:asciiTheme="majorHAnsi" w:eastAsia="Times New Roman" w:hAnsiTheme="majorHAnsi" w:cstheme="majorHAnsi"/>
                <w:color w:val="000000"/>
                <w:sz w:val="24"/>
                <w:szCs w:val="24"/>
                <w:lang w:eastAsia="vi-VN"/>
              </w:rPr>
            </w:pPr>
            <w:r w:rsidRPr="00643EBA">
              <w:rPr>
                <w:rFonts w:asciiTheme="majorHAnsi" w:eastAsia="Times New Roman" w:hAnsiTheme="majorHAnsi" w:cstheme="majorHAnsi"/>
                <w:b/>
                <w:bCs/>
                <w:i/>
                <w:iCs/>
                <w:color w:val="000000"/>
                <w:sz w:val="24"/>
                <w:szCs w:val="24"/>
                <w:lang w:eastAsia="vi-VN"/>
              </w:rPr>
              <w:br/>
              <w:t>Nơi nhận:</w:t>
            </w:r>
            <w:r w:rsidRPr="00643EBA">
              <w:rPr>
                <w:rFonts w:asciiTheme="majorHAnsi" w:eastAsia="Times New Roman" w:hAnsiTheme="majorHAnsi" w:cstheme="majorHAnsi"/>
                <w:b/>
                <w:bCs/>
                <w:i/>
                <w:iCs/>
                <w:color w:val="000000"/>
                <w:sz w:val="24"/>
                <w:szCs w:val="24"/>
                <w:lang w:eastAsia="vi-VN"/>
              </w:rPr>
              <w:br/>
            </w:r>
            <w:r w:rsidRPr="00643EBA">
              <w:rPr>
                <w:rFonts w:asciiTheme="majorHAnsi" w:eastAsia="Times New Roman" w:hAnsiTheme="majorHAnsi" w:cstheme="majorHAnsi"/>
                <w:color w:val="000000"/>
                <w:sz w:val="24"/>
                <w:szCs w:val="24"/>
                <w:lang w:eastAsia="vi-VN"/>
              </w:rPr>
              <w:t>- Ủy ban Thường vụ Quốc hội (để giám sát);</w:t>
            </w:r>
            <w:r w:rsidRPr="00643EBA">
              <w:rPr>
                <w:rFonts w:asciiTheme="majorHAnsi" w:eastAsia="Times New Roman" w:hAnsiTheme="majorHAnsi" w:cstheme="majorHAnsi"/>
                <w:color w:val="000000"/>
                <w:sz w:val="24"/>
                <w:szCs w:val="24"/>
                <w:lang w:eastAsia="vi-VN"/>
              </w:rPr>
              <w:br/>
              <w:t>- Ủy ban Pháp luật của Quốc hội (để giám sát);</w:t>
            </w:r>
            <w:r w:rsidRPr="00643EBA">
              <w:rPr>
                <w:rFonts w:asciiTheme="majorHAnsi" w:eastAsia="Times New Roman" w:hAnsiTheme="majorHAnsi" w:cstheme="majorHAnsi"/>
                <w:color w:val="000000"/>
                <w:sz w:val="24"/>
                <w:szCs w:val="24"/>
                <w:lang w:eastAsia="vi-VN"/>
              </w:rPr>
              <w:br/>
              <w:t>- Ủy ban Tư pháp của Quốc hội (để giám sát);</w:t>
            </w:r>
            <w:r w:rsidRPr="00643EBA">
              <w:rPr>
                <w:rFonts w:asciiTheme="majorHAnsi" w:eastAsia="Times New Roman" w:hAnsiTheme="majorHAnsi" w:cstheme="majorHAnsi"/>
                <w:color w:val="000000"/>
                <w:sz w:val="24"/>
                <w:szCs w:val="24"/>
                <w:lang w:eastAsia="vi-VN"/>
              </w:rPr>
              <w:br/>
              <w:t>- Ban Dân nguyện thuộc UBTVQH;</w:t>
            </w:r>
            <w:r w:rsidRPr="00643EBA">
              <w:rPr>
                <w:rFonts w:asciiTheme="majorHAnsi" w:eastAsia="Times New Roman" w:hAnsiTheme="majorHAnsi" w:cstheme="majorHAnsi"/>
                <w:color w:val="000000"/>
                <w:sz w:val="24"/>
                <w:szCs w:val="24"/>
                <w:lang w:eastAsia="vi-VN"/>
              </w:rPr>
              <w:br/>
              <w:t>- Ủy ban về các vấn đề xã hội của Quốc hội;</w:t>
            </w:r>
            <w:r w:rsidRPr="00643EBA">
              <w:rPr>
                <w:rFonts w:asciiTheme="majorHAnsi" w:eastAsia="Times New Roman" w:hAnsiTheme="majorHAnsi" w:cstheme="majorHAnsi"/>
                <w:color w:val="000000"/>
                <w:sz w:val="24"/>
                <w:szCs w:val="24"/>
                <w:lang w:eastAsia="vi-VN"/>
              </w:rPr>
              <w:br/>
              <w:t>- Ban Nội chính Trung ương (để báo cáo);</w:t>
            </w:r>
            <w:r w:rsidRPr="00643EBA">
              <w:rPr>
                <w:rFonts w:asciiTheme="majorHAnsi" w:eastAsia="Times New Roman" w:hAnsiTheme="majorHAnsi" w:cstheme="majorHAnsi"/>
                <w:color w:val="000000"/>
                <w:sz w:val="24"/>
                <w:szCs w:val="24"/>
                <w:lang w:eastAsia="vi-VN"/>
              </w:rPr>
              <w:br/>
              <w:t>- Văn phòng Trung ương Đảng (để báo cáo);</w:t>
            </w:r>
            <w:r w:rsidRPr="00643EBA">
              <w:rPr>
                <w:rFonts w:asciiTheme="majorHAnsi" w:eastAsia="Times New Roman" w:hAnsiTheme="majorHAnsi" w:cstheme="majorHAnsi"/>
                <w:color w:val="000000"/>
                <w:sz w:val="24"/>
                <w:szCs w:val="24"/>
                <w:lang w:eastAsia="vi-VN"/>
              </w:rPr>
              <w:br/>
              <w:t>- Văn phòng Chủ tịch nước (để báo cáo);</w:t>
            </w:r>
            <w:r w:rsidRPr="00643EBA">
              <w:rPr>
                <w:rFonts w:asciiTheme="majorHAnsi" w:eastAsia="Times New Roman" w:hAnsiTheme="majorHAnsi" w:cstheme="majorHAnsi"/>
                <w:color w:val="000000"/>
                <w:sz w:val="24"/>
                <w:szCs w:val="24"/>
                <w:lang w:eastAsia="vi-VN"/>
              </w:rPr>
              <w:br/>
              <w:t>- Văn phòng Chính phủ 02 bản (để đăng Công báo);</w:t>
            </w:r>
            <w:r w:rsidRPr="00643EBA">
              <w:rPr>
                <w:rFonts w:asciiTheme="majorHAnsi" w:eastAsia="Times New Roman" w:hAnsiTheme="majorHAnsi" w:cstheme="majorHAnsi"/>
                <w:color w:val="000000"/>
                <w:sz w:val="24"/>
                <w:szCs w:val="24"/>
                <w:lang w:eastAsia="vi-VN"/>
              </w:rPr>
              <w:br/>
              <w:t>- Viện kiểm sát nhân dân tối cao (để phối hợp);</w:t>
            </w:r>
            <w:r w:rsidRPr="00643EBA">
              <w:rPr>
                <w:rFonts w:asciiTheme="majorHAnsi" w:eastAsia="Times New Roman" w:hAnsiTheme="majorHAnsi" w:cstheme="majorHAnsi"/>
                <w:color w:val="000000"/>
                <w:sz w:val="24"/>
                <w:szCs w:val="24"/>
                <w:lang w:eastAsia="vi-VN"/>
              </w:rPr>
              <w:br/>
              <w:t>- Bộ Tư pháp (để phối hợp);</w:t>
            </w:r>
            <w:r w:rsidRPr="00643EBA">
              <w:rPr>
                <w:rFonts w:asciiTheme="majorHAnsi" w:eastAsia="Times New Roman" w:hAnsiTheme="majorHAnsi" w:cstheme="majorHAnsi"/>
                <w:color w:val="000000"/>
                <w:sz w:val="24"/>
                <w:szCs w:val="24"/>
                <w:lang w:eastAsia="vi-VN"/>
              </w:rPr>
              <w:br/>
              <w:t>- Bộ Công an (để phối hợp);</w:t>
            </w:r>
            <w:r w:rsidRPr="00643EBA">
              <w:rPr>
                <w:rFonts w:asciiTheme="majorHAnsi" w:eastAsia="Times New Roman" w:hAnsiTheme="majorHAnsi" w:cstheme="majorHAnsi"/>
                <w:color w:val="000000"/>
                <w:sz w:val="24"/>
                <w:szCs w:val="24"/>
                <w:lang w:eastAsia="vi-VN"/>
              </w:rPr>
              <w:br/>
              <w:t>- Bảo hiểm xã hội Việt Nam;</w:t>
            </w:r>
            <w:r w:rsidRPr="00643EBA">
              <w:rPr>
                <w:rFonts w:asciiTheme="majorHAnsi" w:eastAsia="Times New Roman" w:hAnsiTheme="majorHAnsi" w:cstheme="majorHAnsi"/>
                <w:color w:val="000000"/>
                <w:sz w:val="24"/>
                <w:szCs w:val="24"/>
                <w:lang w:eastAsia="vi-VN"/>
              </w:rPr>
              <w:br/>
              <w:t>- Tổng Liên đoàn lao động Việt Nam;</w:t>
            </w:r>
            <w:r w:rsidRPr="00643EBA">
              <w:rPr>
                <w:rFonts w:asciiTheme="majorHAnsi" w:eastAsia="Times New Roman" w:hAnsiTheme="majorHAnsi" w:cstheme="majorHAnsi"/>
                <w:color w:val="000000"/>
                <w:sz w:val="24"/>
                <w:szCs w:val="24"/>
                <w:lang w:eastAsia="vi-VN"/>
              </w:rPr>
              <w:br/>
            </w:r>
            <w:r w:rsidRPr="00643EBA">
              <w:rPr>
                <w:rFonts w:asciiTheme="majorHAnsi" w:eastAsia="Times New Roman" w:hAnsiTheme="majorHAnsi" w:cstheme="majorHAnsi"/>
                <w:color w:val="000000"/>
                <w:sz w:val="24"/>
                <w:szCs w:val="24"/>
                <w:lang w:eastAsia="vi-VN"/>
              </w:rPr>
              <w:lastRenderedPageBreak/>
              <w:t>- Các TAND và TAQS các cấp (để thực hiện);</w:t>
            </w:r>
            <w:r w:rsidRPr="00643EBA">
              <w:rPr>
                <w:rFonts w:asciiTheme="majorHAnsi" w:eastAsia="Times New Roman" w:hAnsiTheme="majorHAnsi" w:cstheme="majorHAnsi"/>
                <w:color w:val="000000"/>
                <w:sz w:val="24"/>
                <w:szCs w:val="24"/>
                <w:lang w:eastAsia="vi-VN"/>
              </w:rPr>
              <w:br/>
              <w:t>- Các Thẩm phán và các đơn vị TANDTC (để thực hiện);</w:t>
            </w:r>
            <w:r w:rsidRPr="00643EBA">
              <w:rPr>
                <w:rFonts w:asciiTheme="majorHAnsi" w:eastAsia="Times New Roman" w:hAnsiTheme="majorHAnsi" w:cstheme="majorHAnsi"/>
                <w:color w:val="000000"/>
                <w:sz w:val="24"/>
                <w:szCs w:val="24"/>
                <w:lang w:eastAsia="vi-VN"/>
              </w:rPr>
              <w:br/>
              <w:t>- Cổng thông tin điện tử TANDTC (để đăng tải);</w:t>
            </w:r>
            <w:r w:rsidRPr="00643EBA">
              <w:rPr>
                <w:rFonts w:asciiTheme="majorHAnsi" w:eastAsia="Times New Roman" w:hAnsiTheme="majorHAnsi" w:cstheme="majorHAnsi"/>
                <w:color w:val="000000"/>
                <w:sz w:val="24"/>
                <w:szCs w:val="24"/>
                <w:lang w:eastAsia="vi-VN"/>
              </w:rPr>
              <w:br/>
              <w:t>- Lưu: VT, Vụ PC&amp;QLKH TANDTC.</w:t>
            </w:r>
          </w:p>
        </w:tc>
        <w:tc>
          <w:tcPr>
            <w:tcW w:w="4148" w:type="dxa"/>
            <w:shd w:val="clear" w:color="auto" w:fill="FFFFFF"/>
            <w:tcMar>
              <w:top w:w="0" w:type="dxa"/>
              <w:left w:w="108" w:type="dxa"/>
              <w:bottom w:w="0" w:type="dxa"/>
              <w:right w:w="108" w:type="dxa"/>
            </w:tcMar>
            <w:hideMark/>
          </w:tcPr>
          <w:p w:rsidR="00643EBA" w:rsidRPr="00643EBA" w:rsidRDefault="00643EBA" w:rsidP="00643EBA">
            <w:pPr>
              <w:spacing w:before="120" w:after="120" w:line="234" w:lineRule="atLeast"/>
              <w:jc w:val="center"/>
              <w:rPr>
                <w:rFonts w:asciiTheme="majorHAnsi" w:eastAsia="Times New Roman" w:hAnsiTheme="majorHAnsi" w:cstheme="majorHAnsi"/>
                <w:color w:val="000000"/>
                <w:sz w:val="24"/>
                <w:szCs w:val="24"/>
                <w:lang w:eastAsia="vi-VN"/>
              </w:rPr>
            </w:pPr>
            <w:r w:rsidRPr="00643EBA">
              <w:rPr>
                <w:rFonts w:asciiTheme="majorHAnsi" w:eastAsia="Times New Roman" w:hAnsiTheme="majorHAnsi" w:cstheme="majorHAnsi"/>
                <w:b/>
                <w:bCs/>
                <w:color w:val="000000"/>
                <w:sz w:val="24"/>
                <w:szCs w:val="24"/>
                <w:lang w:eastAsia="vi-VN"/>
              </w:rPr>
              <w:lastRenderedPageBreak/>
              <w:t>TM. HỘI ĐỒNG THẨM PHÁN</w:t>
            </w:r>
            <w:r w:rsidRPr="00643EBA">
              <w:rPr>
                <w:rFonts w:asciiTheme="majorHAnsi" w:eastAsia="Times New Roman" w:hAnsiTheme="majorHAnsi" w:cstheme="majorHAnsi"/>
                <w:b/>
                <w:bCs/>
                <w:color w:val="000000"/>
                <w:sz w:val="24"/>
                <w:szCs w:val="24"/>
                <w:lang w:eastAsia="vi-VN"/>
              </w:rPr>
              <w:br/>
              <w:t>CHÁNH ÁN</w:t>
            </w:r>
            <w:r w:rsidRPr="00643EBA">
              <w:rPr>
                <w:rFonts w:asciiTheme="majorHAnsi" w:eastAsia="Times New Roman" w:hAnsiTheme="majorHAnsi" w:cstheme="majorHAnsi"/>
                <w:b/>
                <w:bCs/>
                <w:color w:val="000000"/>
                <w:sz w:val="24"/>
                <w:szCs w:val="24"/>
                <w:lang w:eastAsia="vi-VN"/>
              </w:rPr>
              <w:br/>
            </w:r>
            <w:r w:rsidRPr="00643EBA">
              <w:rPr>
                <w:rFonts w:asciiTheme="majorHAnsi" w:eastAsia="Times New Roman" w:hAnsiTheme="majorHAnsi" w:cstheme="majorHAnsi"/>
                <w:b/>
                <w:bCs/>
                <w:color w:val="000000"/>
                <w:sz w:val="24"/>
                <w:szCs w:val="24"/>
                <w:lang w:eastAsia="vi-VN"/>
              </w:rPr>
              <w:br/>
            </w:r>
            <w:r w:rsidRPr="00643EBA">
              <w:rPr>
                <w:rFonts w:asciiTheme="majorHAnsi" w:eastAsia="Times New Roman" w:hAnsiTheme="majorHAnsi" w:cstheme="majorHAnsi"/>
                <w:b/>
                <w:bCs/>
                <w:color w:val="000000"/>
                <w:sz w:val="24"/>
                <w:szCs w:val="24"/>
                <w:lang w:eastAsia="vi-VN"/>
              </w:rPr>
              <w:br/>
            </w:r>
            <w:r w:rsidRPr="00643EBA">
              <w:rPr>
                <w:rFonts w:asciiTheme="majorHAnsi" w:eastAsia="Times New Roman" w:hAnsiTheme="majorHAnsi" w:cstheme="majorHAnsi"/>
                <w:b/>
                <w:bCs/>
                <w:color w:val="000000"/>
                <w:sz w:val="24"/>
                <w:szCs w:val="24"/>
                <w:lang w:eastAsia="vi-VN"/>
              </w:rPr>
              <w:br/>
            </w:r>
            <w:r w:rsidRPr="00643EBA">
              <w:rPr>
                <w:rFonts w:asciiTheme="majorHAnsi" w:eastAsia="Times New Roman" w:hAnsiTheme="majorHAnsi" w:cstheme="majorHAnsi"/>
                <w:b/>
                <w:bCs/>
                <w:color w:val="000000"/>
                <w:sz w:val="24"/>
                <w:szCs w:val="24"/>
                <w:lang w:eastAsia="vi-VN"/>
              </w:rPr>
              <w:br/>
              <w:t>Nguyễn Hòa Bình</w:t>
            </w:r>
          </w:p>
        </w:tc>
      </w:tr>
    </w:tbl>
    <w:p w:rsidR="003967DA" w:rsidRDefault="003967DA"/>
    <w:sectPr w:rsidR="003967DA" w:rsidSect="00B850AA">
      <w:type w:val="continuous"/>
      <w:pgSz w:w="11900" w:h="16840" w:code="9"/>
      <w:pgMar w:top="1134" w:right="1134"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BA"/>
    <w:rsid w:val="003967DA"/>
    <w:rsid w:val="00643EBA"/>
    <w:rsid w:val="00B850AA"/>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EB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EB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2490</Words>
  <Characters>14196</Characters>
  <Application>Microsoft Office Word</Application>
  <DocSecurity>0</DocSecurity>
  <Lines>118</Lines>
  <Paragraphs>33</Paragraphs>
  <ScaleCrop>false</ScaleCrop>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2019-11-25T08:25:00Z</dcterms:created>
  <dcterms:modified xsi:type="dcterms:W3CDTF">2019-11-25T08:27:00Z</dcterms:modified>
</cp:coreProperties>
</file>